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4D3" w:rsidRDefault="007174EC">
      <w:r w:rsidRPr="007174EC">
        <mc:AlternateContent>
          <mc:Choice Requires="wps">
            <w:drawing>
              <wp:anchor distT="45720" distB="45720" distL="114300" distR="114300" simplePos="0" relativeHeight="251672064" behindDoc="0" locked="0" layoutInCell="1" allowOverlap="1" wp14:anchorId="6CE6D68E" wp14:editId="6EC1F17B">
                <wp:simplePos x="0" y="0"/>
                <wp:positionH relativeFrom="column">
                  <wp:posOffset>-899795</wp:posOffset>
                </wp:positionH>
                <wp:positionV relativeFrom="paragraph">
                  <wp:posOffset>1761622</wp:posOffset>
                </wp:positionV>
                <wp:extent cx="7551420" cy="2454910"/>
                <wp:effectExtent l="0" t="0" r="0" b="25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1420" cy="2454910"/>
                        </a:xfrm>
                        <a:prstGeom prst="rect">
                          <a:avLst/>
                        </a:prstGeom>
                        <a:solidFill>
                          <a:srgbClr val="FFFFFF"/>
                        </a:solidFill>
                        <a:ln w="9525">
                          <a:noFill/>
                          <a:miter lim="800000"/>
                          <a:headEnd/>
                          <a:tailEnd/>
                        </a:ln>
                      </wps:spPr>
                      <wps:txbx>
                        <w:txbxContent>
                          <w:p w:rsidR="007174EC" w:rsidRPr="005B3F42" w:rsidRDefault="007174EC" w:rsidP="007174EC">
                            <w:pPr>
                              <w:jc w:val="center"/>
                              <w:rPr>
                                <w:rFonts w:asciiTheme="majorHAnsi" w:hAnsiTheme="majorHAnsi" w:cstheme="majorHAnsi"/>
                                <w:b/>
                                <w:color w:val="E78642"/>
                                <w:sz w:val="88"/>
                                <w:szCs w:val="88"/>
                                <w:lang w:val="pt-BR"/>
                              </w:rPr>
                            </w:pPr>
                            <w:r w:rsidRPr="005B3F42">
                              <w:rPr>
                                <w:rFonts w:asciiTheme="majorHAnsi" w:hAnsiTheme="majorHAnsi" w:cstheme="majorHAnsi"/>
                                <w:b/>
                                <w:color w:val="E78642"/>
                                <w:sz w:val="88"/>
                                <w:szCs w:val="88"/>
                                <w:lang w:val="pt-BR"/>
                              </w:rPr>
                              <w:t>RELATÓRIO DE MONITORAMENTO DE</w:t>
                            </w:r>
                          </w:p>
                          <w:p w:rsidR="007174EC" w:rsidRPr="005B3F42" w:rsidRDefault="007174EC" w:rsidP="007174EC">
                            <w:pPr>
                              <w:jc w:val="center"/>
                              <w:rPr>
                                <w:lang w:val="pt-BR"/>
                              </w:rPr>
                            </w:pPr>
                            <w:r w:rsidRPr="005B3F42">
                              <w:rPr>
                                <w:rFonts w:asciiTheme="majorHAnsi" w:hAnsiTheme="majorHAnsi" w:cstheme="majorHAnsi"/>
                                <w:b/>
                                <w:color w:val="E78642"/>
                                <w:sz w:val="88"/>
                                <w:szCs w:val="88"/>
                                <w:lang w:val="pt-BR"/>
                              </w:rPr>
                              <w:t>METAS ESTRATÉGICAS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E6D68E" id="_x0000_t202" coordsize="21600,21600" o:spt="202" path="m,l,21600r21600,l21600,xe">
                <v:stroke joinstyle="miter"/>
                <v:path gradientshapeok="t" o:connecttype="rect"/>
              </v:shapetype>
              <v:shape id="Caixa de Texto 2" o:spid="_x0000_s1026" type="#_x0000_t202" style="position:absolute;margin-left:-70.85pt;margin-top:138.7pt;width:594.6pt;height:193.3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" stroked="f">
                <v:textbox>
                  <w:txbxContent>
                    <w:p w:rsidR="007174EC" w:rsidRPr="005B3F42" w:rsidRDefault="007174EC" w:rsidP="007174EC">
                      <w:pPr>
                        <w:jc w:val="center"/>
                        <w:rPr>
                          <w:rFonts w:asciiTheme="majorHAnsi" w:hAnsiTheme="majorHAnsi" w:cstheme="majorHAnsi"/>
                          <w:b/>
                          <w:color w:val="E78642"/>
                          <w:sz w:val="88"/>
                          <w:szCs w:val="88"/>
                          <w:lang w:val="pt-BR"/>
                        </w:rPr>
                      </w:pPr>
                      <w:r w:rsidRPr="005B3F42">
                        <w:rPr>
                          <w:rFonts w:asciiTheme="majorHAnsi" w:hAnsiTheme="majorHAnsi" w:cstheme="majorHAnsi"/>
                          <w:b/>
                          <w:color w:val="E78642"/>
                          <w:sz w:val="88"/>
                          <w:szCs w:val="88"/>
                          <w:lang w:val="pt-BR"/>
                        </w:rPr>
                        <w:t>RELATÓRIO DE MONITORAMENTO DE</w:t>
                      </w:r>
                    </w:p>
                    <w:p w:rsidR="007174EC" w:rsidRPr="005B3F42" w:rsidRDefault="007174EC" w:rsidP="007174EC">
                      <w:pPr>
                        <w:jc w:val="center"/>
                        <w:rPr>
                          <w:lang w:val="pt-BR"/>
                        </w:rPr>
                      </w:pPr>
                      <w:r w:rsidRPr="005B3F42">
                        <w:rPr>
                          <w:rFonts w:asciiTheme="majorHAnsi" w:hAnsiTheme="majorHAnsi" w:cstheme="majorHAnsi"/>
                          <w:b/>
                          <w:color w:val="E78642"/>
                          <w:sz w:val="88"/>
                          <w:szCs w:val="88"/>
                          <w:lang w:val="pt-BR"/>
                        </w:rPr>
                        <w:t>METAS ESTRATÉGICAS</w:t>
                      </w:r>
                    </w:p>
                  </w:txbxContent>
                </v:textbox>
                <w10:wrap type="square"/>
              </v:shape>
            </w:pict>
          </mc:Fallback>
        </mc:AlternateContent>
      </w:r>
      <w:r w:rsidRPr="007174EC">
        <mc:AlternateContent>
          <mc:Choice Requires="wps">
            <w:drawing>
              <wp:anchor distT="0" distB="0" distL="114300" distR="114300" simplePos="0" relativeHeight="251620864" behindDoc="0" locked="0" layoutInCell="1" allowOverlap="1" wp14:anchorId="04FC8411" wp14:editId="66632AE2">
                <wp:simplePos x="0" y="0"/>
                <wp:positionH relativeFrom="column">
                  <wp:posOffset>-306639</wp:posOffset>
                </wp:positionH>
                <wp:positionV relativeFrom="paragraph">
                  <wp:posOffset>-423223</wp:posOffset>
                </wp:positionV>
                <wp:extent cx="1513205" cy="697865"/>
                <wp:effectExtent l="0" t="0" r="0" b="0"/>
                <wp:wrapSquare wrapText="bothSides"/>
                <wp:docPr id="55" name="Freeform 4"/>
                <wp:cNvGraphicFramePr/>
                <a:graphic xmlns:a="http://schemas.openxmlformats.org/drawingml/2006/main">
                  <a:graphicData uri="http://schemas.microsoft.com/office/word/2010/wordprocessingShape">
                    <wps:wsp>
                      <wps:cNvSpPr/>
                      <wps:spPr>
                        <a:xfrm>
                          <a:off x="0" y="0"/>
                          <a:ext cx="1513205" cy="697865"/>
                        </a:xfrm>
                        <a:custGeom>
                          <a:avLst/>
                          <a:gdLst/>
                          <a:ahLst/>
                          <a:cxnLst/>
                          <a:rect l="l" t="t" r="r" b="b"/>
                          <a:pathLst>
                            <a:path w="1513743" h="697935">
                              <a:moveTo>
                                <a:pt x="0" y="0"/>
                              </a:moveTo>
                              <a:lnTo>
                                <a:pt x="1513743" y="0"/>
                              </a:lnTo>
                              <a:lnTo>
                                <a:pt x="1513743" y="697934"/>
                              </a:lnTo>
                              <a:lnTo>
                                <a:pt x="0" y="697934"/>
                              </a:lnTo>
                              <a:lnTo>
                                <a:pt x="0" y="0"/>
                              </a:lnTo>
                              <a:close/>
                            </a:path>
                          </a:pathLst>
                        </a:custGeom>
                        <a:blipFill>
                          <a:blip r:embed="rId8">
                            <a:duotone>
                              <a:prstClr val="black"/>
                              <a:schemeClr val="accent6">
                                <a:tint val="45000"/>
                                <a:satMod val="400000"/>
                              </a:schemeClr>
                            </a:duotone>
                          </a:blip>
                          <a:stretch>
                            <a:fillRect/>
                          </a:stretch>
                        </a:blipFill>
                      </wps:spPr>
                      <wps:bodyPr/>
                    </wps:wsp>
                  </a:graphicData>
                </a:graphic>
              </wp:anchor>
            </w:drawing>
          </mc:Choice>
          <mc:Fallback>
            <w:pict>
              <v:shape w14:anchorId="047964FA" id="Freeform 4" o:spid="_x0000_s1026" style="position:absolute;margin-left:-24.15pt;margin-top:-33.3pt;width:119.15pt;height:54.95pt;z-index:251620864;visibility:visible;mso-wrap-style:square;mso-wrap-distance-left:9pt;mso-wrap-distance-top:0;mso-wrap-distance-right:9pt;mso-wrap-distance-bottom:0;mso-position-horizontal:absolute;mso-position-horizontal-relative:text;mso-position-vertical:absolute;mso-position-vertical-relative:text;v-text-anchor:top" coordsize="1513743,697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" path="m,l1513743,r,697934l,697934,,xe" stroked="f">
                <v:fill r:id="rId9" o:title="" recolor="t" rotate="t" type="frame"/>
                <v:imagedata recolortarget="black"/>
                <v:path arrowok="t"/>
                <w10:wrap type="square"/>
              </v:shape>
            </w:pict>
          </mc:Fallback>
        </mc:AlternateContent>
      </w:r>
      <w:r w:rsidRPr="007174EC">
        <w:drawing>
          <wp:anchor distT="0" distB="0" distL="114300" distR="114300" simplePos="0" relativeHeight="251648512" behindDoc="0" locked="0" layoutInCell="1" allowOverlap="1" wp14:anchorId="5D4500C9" wp14:editId="3B3C0E24">
            <wp:simplePos x="0" y="0"/>
            <wp:positionH relativeFrom="column">
              <wp:posOffset>4216565</wp:posOffset>
            </wp:positionH>
            <wp:positionV relativeFrom="paragraph">
              <wp:posOffset>-530671</wp:posOffset>
            </wp:positionV>
            <wp:extent cx="2086610" cy="849630"/>
            <wp:effectExtent l="0" t="0" r="0" b="7620"/>
            <wp:wrapSquare wrapText="bothSides"/>
            <wp:docPr id="10" name="Imagem 10"/>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0" cstate="print">
                      <a:duotone>
                        <a:prstClr val="black"/>
                        <a:schemeClr val="accent6">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086610" cy="849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74EC">
        <mc:AlternateContent>
          <mc:Choice Requires="wps">
            <w:drawing>
              <wp:anchor distT="45720" distB="45720" distL="114300" distR="114300" simplePos="0" relativeHeight="251737600" behindDoc="0" locked="0" layoutInCell="1" allowOverlap="1" wp14:anchorId="662DDA2D" wp14:editId="0817E829">
                <wp:simplePos x="0" y="0"/>
                <wp:positionH relativeFrom="margin">
                  <wp:posOffset>-888365</wp:posOffset>
                </wp:positionH>
                <wp:positionV relativeFrom="paragraph">
                  <wp:posOffset>5276850</wp:posOffset>
                </wp:positionV>
                <wp:extent cx="7539990" cy="1404620"/>
                <wp:effectExtent l="0" t="0" r="0" b="0"/>
                <wp:wrapSquare wrapText="bothSides"/>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9990" cy="1404620"/>
                        </a:xfrm>
                        <a:prstGeom prst="rect">
                          <a:avLst/>
                        </a:prstGeom>
                        <a:noFill/>
                        <a:ln w="9525">
                          <a:noFill/>
                          <a:miter lim="800000"/>
                          <a:headEnd/>
                          <a:tailEnd/>
                        </a:ln>
                      </wps:spPr>
                      <wps:txbx>
                        <w:txbxContent>
                          <w:p w:rsidR="007174EC" w:rsidRPr="00FA4F1B" w:rsidRDefault="007174EC" w:rsidP="007174EC">
                            <w:pPr>
                              <w:jc w:val="center"/>
                              <w:rPr>
                                <w:rFonts w:asciiTheme="majorHAnsi" w:hAnsiTheme="majorHAnsi" w:cstheme="majorHAnsi"/>
                                <w:color w:val="E36C0A" w:themeColor="accent6" w:themeShade="BF"/>
                                <w:sz w:val="48"/>
                                <w:szCs w:val="48"/>
                              </w:rPr>
                            </w:pPr>
                            <w:proofErr w:type="spellStart"/>
                            <w:r w:rsidRPr="00FA4F1B">
                              <w:rPr>
                                <w:rFonts w:asciiTheme="majorHAnsi" w:hAnsiTheme="majorHAnsi" w:cstheme="majorHAnsi"/>
                                <w:color w:val="E36C0A" w:themeColor="accent6" w:themeShade="BF"/>
                                <w:sz w:val="48"/>
                                <w:szCs w:val="48"/>
                              </w:rPr>
                              <w:t>Planejamento</w:t>
                            </w:r>
                            <w:proofErr w:type="spellEnd"/>
                            <w:r w:rsidRPr="00FA4F1B">
                              <w:rPr>
                                <w:rFonts w:asciiTheme="majorHAnsi" w:hAnsiTheme="majorHAnsi" w:cstheme="majorHAnsi"/>
                                <w:color w:val="E36C0A" w:themeColor="accent6" w:themeShade="BF"/>
                                <w:sz w:val="48"/>
                                <w:szCs w:val="48"/>
                              </w:rPr>
                              <w:t xml:space="preserve"> </w:t>
                            </w:r>
                            <w:proofErr w:type="spellStart"/>
                            <w:r w:rsidRPr="00FA4F1B">
                              <w:rPr>
                                <w:rFonts w:asciiTheme="majorHAnsi" w:hAnsiTheme="majorHAnsi" w:cstheme="majorHAnsi"/>
                                <w:color w:val="E36C0A" w:themeColor="accent6" w:themeShade="BF"/>
                                <w:sz w:val="48"/>
                                <w:szCs w:val="48"/>
                              </w:rPr>
                              <w:t>Estratégico</w:t>
                            </w:r>
                            <w:proofErr w:type="spellEnd"/>
                            <w:r w:rsidRPr="00FA4F1B">
                              <w:rPr>
                                <w:rFonts w:asciiTheme="majorHAnsi" w:hAnsiTheme="majorHAnsi" w:cstheme="majorHAnsi"/>
                                <w:color w:val="E36C0A" w:themeColor="accent6" w:themeShade="BF"/>
                                <w:sz w:val="48"/>
                                <w:szCs w:val="48"/>
                              </w:rPr>
                              <w:t xml:space="preserve"> - 202</w:t>
                            </w:r>
                            <w:r>
                              <w:rPr>
                                <w:rFonts w:asciiTheme="majorHAnsi" w:hAnsiTheme="majorHAnsi" w:cstheme="majorHAnsi"/>
                                <w:color w:val="E36C0A" w:themeColor="accent6" w:themeShade="BF"/>
                                <w:sz w:val="48"/>
                                <w:szCs w:val="4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2DDA2D" id="_x0000_s1027" type="#_x0000_t202" style="position:absolute;margin-left:-69.95pt;margin-top:415.5pt;width:593.7pt;height:110.6pt;z-index:251737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" filled="f" stroked="f">
                <v:textbox style="mso-fit-shape-to-text:t">
                  <w:txbxContent>
                    <w:p w:rsidR="007174EC" w:rsidRPr="00FA4F1B" w:rsidRDefault="007174EC" w:rsidP="007174EC">
                      <w:pPr>
                        <w:jc w:val="center"/>
                        <w:rPr>
                          <w:rFonts w:asciiTheme="majorHAnsi" w:hAnsiTheme="majorHAnsi" w:cstheme="majorHAnsi"/>
                          <w:color w:val="E36C0A" w:themeColor="accent6" w:themeShade="BF"/>
                          <w:sz w:val="48"/>
                          <w:szCs w:val="48"/>
                        </w:rPr>
                      </w:pPr>
                      <w:proofErr w:type="spellStart"/>
                      <w:r w:rsidRPr="00FA4F1B">
                        <w:rPr>
                          <w:rFonts w:asciiTheme="majorHAnsi" w:hAnsiTheme="majorHAnsi" w:cstheme="majorHAnsi"/>
                          <w:color w:val="E36C0A" w:themeColor="accent6" w:themeShade="BF"/>
                          <w:sz w:val="48"/>
                          <w:szCs w:val="48"/>
                        </w:rPr>
                        <w:t>Planejamento</w:t>
                      </w:r>
                      <w:proofErr w:type="spellEnd"/>
                      <w:r w:rsidRPr="00FA4F1B">
                        <w:rPr>
                          <w:rFonts w:asciiTheme="majorHAnsi" w:hAnsiTheme="majorHAnsi" w:cstheme="majorHAnsi"/>
                          <w:color w:val="E36C0A" w:themeColor="accent6" w:themeShade="BF"/>
                          <w:sz w:val="48"/>
                          <w:szCs w:val="48"/>
                        </w:rPr>
                        <w:t xml:space="preserve"> </w:t>
                      </w:r>
                      <w:proofErr w:type="spellStart"/>
                      <w:r w:rsidRPr="00FA4F1B">
                        <w:rPr>
                          <w:rFonts w:asciiTheme="majorHAnsi" w:hAnsiTheme="majorHAnsi" w:cstheme="majorHAnsi"/>
                          <w:color w:val="E36C0A" w:themeColor="accent6" w:themeShade="BF"/>
                          <w:sz w:val="48"/>
                          <w:szCs w:val="48"/>
                        </w:rPr>
                        <w:t>Estratégico</w:t>
                      </w:r>
                      <w:proofErr w:type="spellEnd"/>
                      <w:r w:rsidRPr="00FA4F1B">
                        <w:rPr>
                          <w:rFonts w:asciiTheme="majorHAnsi" w:hAnsiTheme="majorHAnsi" w:cstheme="majorHAnsi"/>
                          <w:color w:val="E36C0A" w:themeColor="accent6" w:themeShade="BF"/>
                          <w:sz w:val="48"/>
                          <w:szCs w:val="48"/>
                        </w:rPr>
                        <w:t xml:space="preserve"> - 202</w:t>
                      </w:r>
                      <w:r>
                        <w:rPr>
                          <w:rFonts w:asciiTheme="majorHAnsi" w:hAnsiTheme="majorHAnsi" w:cstheme="majorHAnsi"/>
                          <w:color w:val="E36C0A" w:themeColor="accent6" w:themeShade="BF"/>
                          <w:sz w:val="48"/>
                          <w:szCs w:val="48"/>
                        </w:rPr>
                        <w:t>6</w:t>
                      </w:r>
                    </w:p>
                  </w:txbxContent>
                </v:textbox>
                <w10:wrap type="square" anchorx="margin"/>
              </v:shape>
            </w:pict>
          </mc:Fallback>
        </mc:AlternateContent>
      </w:r>
      <w:r w:rsidRPr="007174EC">
        <mc:AlternateContent>
          <mc:Choice Requires="wps">
            <w:drawing>
              <wp:anchor distT="45720" distB="45720" distL="114300" distR="114300" simplePos="0" relativeHeight="251703808" behindDoc="0" locked="0" layoutInCell="1" allowOverlap="1" wp14:anchorId="202E0FBB" wp14:editId="221E34BB">
                <wp:simplePos x="0" y="0"/>
                <wp:positionH relativeFrom="margin">
                  <wp:posOffset>-899795</wp:posOffset>
                </wp:positionH>
                <wp:positionV relativeFrom="paragraph">
                  <wp:posOffset>8848709</wp:posOffset>
                </wp:positionV>
                <wp:extent cx="7607935" cy="1404620"/>
                <wp:effectExtent l="0" t="0" r="0" b="4445"/>
                <wp:wrapSquare wrapText="bothSides"/>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935" cy="1404620"/>
                        </a:xfrm>
                        <a:prstGeom prst="rect">
                          <a:avLst/>
                        </a:prstGeom>
                        <a:noFill/>
                        <a:ln w="9525">
                          <a:noFill/>
                          <a:miter lim="800000"/>
                          <a:headEnd/>
                          <a:tailEnd/>
                        </a:ln>
                      </wps:spPr>
                      <wps:txbx>
                        <w:txbxContent>
                          <w:p w:rsidR="007174EC" w:rsidRPr="00F26490" w:rsidRDefault="007174EC" w:rsidP="007174EC">
                            <w:pPr>
                              <w:jc w:val="center"/>
                              <w:rPr>
                                <w:rFonts w:asciiTheme="majorHAnsi" w:hAnsiTheme="majorHAnsi" w:cstheme="majorHAnsi"/>
                                <w:b/>
                                <w:color w:val="FFFFFF" w:themeColor="background1"/>
                                <w:sz w:val="36"/>
                                <w:szCs w:val="36"/>
                              </w:rPr>
                            </w:pPr>
                            <w:proofErr w:type="spellStart"/>
                            <w:r>
                              <w:rPr>
                                <w:rFonts w:asciiTheme="majorHAnsi" w:hAnsiTheme="majorHAnsi" w:cstheme="majorHAnsi"/>
                                <w:b/>
                                <w:bCs/>
                                <w:color w:val="FFFFFF" w:themeColor="background1"/>
                                <w:sz w:val="36"/>
                                <w:szCs w:val="36"/>
                              </w:rPr>
                              <w:t>Março</w:t>
                            </w:r>
                            <w:proofErr w:type="spellEnd"/>
                            <w:r>
                              <w:rPr>
                                <w:rFonts w:asciiTheme="majorHAnsi" w:hAnsiTheme="majorHAnsi" w:cstheme="majorHAnsi"/>
                                <w:b/>
                                <w:bCs/>
                                <w:color w:val="FFFFFF" w:themeColor="background1"/>
                                <w:sz w:val="36"/>
                                <w:szCs w:val="36"/>
                              </w:rPr>
                              <w:t xml:space="preserve">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2E0FBB" id="_x0000_s1028" type="#_x0000_t202" style="position:absolute;margin-left:-70.85pt;margin-top:696.75pt;width:599.05pt;height:110.6pt;z-index:251703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" filled="f" stroked="f">
                <v:textbox style="mso-fit-shape-to-text:t">
                  <w:txbxContent>
                    <w:p w:rsidR="007174EC" w:rsidRPr="00F26490" w:rsidRDefault="007174EC" w:rsidP="007174EC">
                      <w:pPr>
                        <w:jc w:val="center"/>
                        <w:rPr>
                          <w:rFonts w:asciiTheme="majorHAnsi" w:hAnsiTheme="majorHAnsi" w:cstheme="majorHAnsi"/>
                          <w:b/>
                          <w:color w:val="FFFFFF" w:themeColor="background1"/>
                          <w:sz w:val="36"/>
                          <w:szCs w:val="36"/>
                        </w:rPr>
                      </w:pPr>
                      <w:proofErr w:type="spellStart"/>
                      <w:r>
                        <w:rPr>
                          <w:rFonts w:asciiTheme="majorHAnsi" w:hAnsiTheme="majorHAnsi" w:cstheme="majorHAnsi"/>
                          <w:b/>
                          <w:bCs/>
                          <w:color w:val="FFFFFF" w:themeColor="background1"/>
                          <w:sz w:val="36"/>
                          <w:szCs w:val="36"/>
                        </w:rPr>
                        <w:t>Março</w:t>
                      </w:r>
                      <w:proofErr w:type="spellEnd"/>
                      <w:r>
                        <w:rPr>
                          <w:rFonts w:asciiTheme="majorHAnsi" w:hAnsiTheme="majorHAnsi" w:cstheme="majorHAnsi"/>
                          <w:b/>
                          <w:bCs/>
                          <w:color w:val="FFFFFF" w:themeColor="background1"/>
                          <w:sz w:val="36"/>
                          <w:szCs w:val="36"/>
                        </w:rPr>
                        <w:t xml:space="preserve"> - 2026</w:t>
                      </w:r>
                    </w:p>
                  </w:txbxContent>
                </v:textbox>
                <w10:wrap type="square" anchorx="margin"/>
              </v:shape>
            </w:pict>
          </mc:Fallback>
        </mc:AlternateContent>
      </w:r>
      <w:r w:rsidRPr="007174EC">
        <mc:AlternateContent>
          <mc:Choice Requires="wps">
            <w:drawing>
              <wp:anchor distT="0" distB="0" distL="114300" distR="114300" simplePos="0" relativeHeight="251769344" behindDoc="0" locked="0" layoutInCell="1" allowOverlap="1" wp14:anchorId="589D30D3" wp14:editId="2166FFA5">
                <wp:simplePos x="0" y="0"/>
                <wp:positionH relativeFrom="column">
                  <wp:posOffset>2391171</wp:posOffset>
                </wp:positionH>
                <wp:positionV relativeFrom="paragraph">
                  <wp:posOffset>9337048</wp:posOffset>
                </wp:positionV>
                <wp:extent cx="971550" cy="420370"/>
                <wp:effectExtent l="0" t="0" r="0" b="0"/>
                <wp:wrapSquare wrapText="bothSides"/>
                <wp:docPr id="2" name="Freeform 15"/>
                <wp:cNvGraphicFramePr/>
                <a:graphic xmlns:a="http://schemas.openxmlformats.org/drawingml/2006/main">
                  <a:graphicData uri="http://schemas.microsoft.com/office/word/2010/wordprocessingShape">
                    <wps:wsp>
                      <wps:cNvSpPr/>
                      <wps:spPr>
                        <a:xfrm>
                          <a:off x="0" y="0"/>
                          <a:ext cx="971550" cy="420370"/>
                        </a:xfrm>
                        <a:custGeom>
                          <a:avLst/>
                          <a:gdLst/>
                          <a:ahLst/>
                          <a:cxnLst/>
                          <a:rect l="l" t="t" r="r" b="b"/>
                          <a:pathLst>
                            <a:path w="1148362" h="458956">
                              <a:moveTo>
                                <a:pt x="0" y="0"/>
                              </a:moveTo>
                              <a:lnTo>
                                <a:pt x="1148362" y="0"/>
                              </a:lnTo>
                              <a:lnTo>
                                <a:pt x="1148362" y="458956"/>
                              </a:lnTo>
                              <a:lnTo>
                                <a:pt x="0" y="458956"/>
                              </a:lnTo>
                              <a:lnTo>
                                <a:pt x="0" y="0"/>
                              </a:lnTo>
                              <a:close/>
                            </a:path>
                          </a:pathLst>
                        </a:custGeom>
                        <a:blipFill>
                          <a:blip r:embed="rId1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7CB6259" id="Freeform 15" o:spid="_x0000_s1026" style="position:absolute;margin-left:188.3pt;margin-top:735.2pt;width:76.5pt;height:33.1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8362,458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" path="m,l1148362,r,458956l,458956,,xe" stroked="f">
                <v:fill r:id="rId12" o:title="" recolor="t" rotate="t" type="frame"/>
                <v:path arrowok="t"/>
                <w10:wrap type="square"/>
              </v:shape>
            </w:pict>
          </mc:Fallback>
        </mc:AlternateContent>
      </w:r>
      <w:r w:rsidRPr="007174EC">
        <w:drawing>
          <wp:anchor distT="0" distB="0" distL="114300" distR="114300" simplePos="0" relativeHeight="251591168" behindDoc="0" locked="0" layoutInCell="1" allowOverlap="1" wp14:anchorId="6A787D48" wp14:editId="2B6B153D">
            <wp:simplePos x="0" y="0"/>
            <wp:positionH relativeFrom="column">
              <wp:posOffset>-1410335</wp:posOffset>
            </wp:positionH>
            <wp:positionV relativeFrom="paragraph">
              <wp:posOffset>-1753235</wp:posOffset>
            </wp:positionV>
            <wp:extent cx="7639050" cy="1080325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39050" cy="10803255"/>
                    </a:xfrm>
                    <a:prstGeom prst="rect">
                      <a:avLst/>
                    </a:prstGeom>
                    <a:noFill/>
                  </pic:spPr>
                </pic:pic>
              </a:graphicData>
            </a:graphic>
            <wp14:sizeRelH relativeFrom="page">
              <wp14:pctWidth>0</wp14:pctWidth>
            </wp14:sizeRelH>
            <wp14:sizeRelV relativeFrom="page">
              <wp14:pctHeight>0</wp14:pctHeight>
            </wp14:sizeRelV>
          </wp:anchor>
        </w:drawing>
      </w:r>
      <w:r w:rsidR="006244D3">
        <w:br w:type="page"/>
      </w:r>
      <w:bookmarkStart w:id="0" w:name="_GoBack"/>
      <w:bookmarkEnd w:id="0"/>
    </w:p>
    <w:p w:rsidR="00760DE1" w:rsidRPr="0087435D" w:rsidRDefault="0087435D">
      <w:pPr>
        <w:spacing w:before="240" w:after="0"/>
        <w:jc w:val="center"/>
        <w:rPr>
          <w:lang w:val="pt-BR"/>
        </w:rPr>
      </w:pPr>
      <w:r w:rsidRPr="0087435D">
        <w:rPr>
          <w:rFonts w:ascii="Calibri" w:hAnsi="Calibri"/>
          <w:b/>
          <w:sz w:val="32"/>
          <w:lang w:val="pt-BR"/>
        </w:rPr>
        <w:lastRenderedPageBreak/>
        <w:t>SUMÁRIO</w:t>
      </w:r>
    </w:p>
    <w:p w:rsidR="007174EC" w:rsidRDefault="007174EC">
      <w:pPr>
        <w:pStyle w:val="Sumrio1"/>
        <w:tabs>
          <w:tab w:val="left" w:pos="440"/>
          <w:tab w:val="right" w:leader="dot" w:pos="9062"/>
        </w:tabs>
        <w:rPr>
          <w:noProof/>
        </w:rPr>
      </w:pPr>
      <w:r w:rsidRPr="005B3F42">
        <w:rPr>
          <w:rFonts w:ascii="Calibri" w:hAnsi="Calibri" w:cs="Calibri"/>
        </w:rPr>
        <w:fldChar w:fldCharType="begin"/>
      </w:r>
      <w:r w:rsidRPr="005B3F42">
        <w:rPr>
          <w:rFonts w:ascii="Calibri" w:hAnsi="Calibri" w:cs="Calibri"/>
        </w:rPr>
        <w:instrText>TOC \o "1-3" \h \z \u</w:instrText>
      </w:r>
      <w:r w:rsidRPr="005B3F42">
        <w:rPr>
          <w:rFonts w:ascii="Calibri" w:hAnsi="Calibri" w:cs="Calibri"/>
        </w:rPr>
        <w:fldChar w:fldCharType="separate"/>
      </w:r>
      <w:hyperlink w:anchor="_Toc223442903" w:history="1">
        <w:r w:rsidRPr="00C13EA4">
          <w:rPr>
            <w:rStyle w:val="Hyperlink"/>
            <w:rFonts w:asciiTheme="majorHAnsi" w:eastAsia="Times New Roman" w:hAnsiTheme="majorHAnsi" w:cstheme="majorHAnsi"/>
            <w:b/>
            <w:bCs/>
            <w:noProof/>
          </w:rPr>
          <w:t>1.</w:t>
        </w:r>
        <w:r>
          <w:rPr>
            <w:noProof/>
          </w:rPr>
          <w:tab/>
        </w:r>
        <w:r w:rsidRPr="00C13EA4">
          <w:rPr>
            <w:rStyle w:val="Hyperlink"/>
            <w:rFonts w:asciiTheme="majorHAnsi" w:eastAsia="Times New Roman" w:hAnsiTheme="majorHAnsi" w:cstheme="majorHAnsi"/>
            <w:b/>
            <w:bCs/>
            <w:noProof/>
          </w:rPr>
          <w:t>INTRODUÇÃO</w:t>
        </w:r>
        <w:r>
          <w:rPr>
            <w:noProof/>
            <w:webHidden/>
          </w:rPr>
          <w:tab/>
        </w:r>
        <w:r>
          <w:rPr>
            <w:noProof/>
            <w:webHidden/>
          </w:rPr>
          <w:fldChar w:fldCharType="begin"/>
        </w:r>
        <w:r>
          <w:rPr>
            <w:noProof/>
            <w:webHidden/>
          </w:rPr>
          <w:instrText xml:space="preserve"> PAGEREF _Toc223442903 \h </w:instrText>
        </w:r>
        <w:r>
          <w:rPr>
            <w:noProof/>
            <w:webHidden/>
          </w:rPr>
        </w:r>
        <w:r>
          <w:rPr>
            <w:noProof/>
            <w:webHidden/>
          </w:rPr>
          <w:fldChar w:fldCharType="separate"/>
        </w:r>
        <w:r>
          <w:rPr>
            <w:noProof/>
            <w:webHidden/>
          </w:rPr>
          <w:t>5</w:t>
        </w:r>
        <w:r>
          <w:rPr>
            <w:noProof/>
            <w:webHidden/>
          </w:rPr>
          <w:fldChar w:fldCharType="end"/>
        </w:r>
      </w:hyperlink>
    </w:p>
    <w:p w:rsidR="007174EC" w:rsidRDefault="007174EC">
      <w:pPr>
        <w:pStyle w:val="Sumrio1"/>
        <w:tabs>
          <w:tab w:val="left" w:pos="440"/>
          <w:tab w:val="right" w:leader="dot" w:pos="9062"/>
        </w:tabs>
        <w:rPr>
          <w:noProof/>
        </w:rPr>
      </w:pPr>
      <w:hyperlink w:anchor="_Toc223442904" w:history="1">
        <w:r w:rsidRPr="00C13EA4">
          <w:rPr>
            <w:rStyle w:val="Hyperlink"/>
            <w:rFonts w:asciiTheme="majorHAnsi" w:eastAsia="Times New Roman" w:hAnsiTheme="majorHAnsi" w:cstheme="majorHAnsi"/>
            <w:b/>
            <w:bCs/>
            <w:noProof/>
          </w:rPr>
          <w:t>2.</w:t>
        </w:r>
        <w:r>
          <w:rPr>
            <w:noProof/>
          </w:rPr>
          <w:tab/>
        </w:r>
        <w:r w:rsidRPr="00C13EA4">
          <w:rPr>
            <w:rStyle w:val="Hyperlink"/>
            <w:rFonts w:asciiTheme="majorHAnsi" w:eastAsia="Times New Roman" w:hAnsiTheme="majorHAnsi" w:cstheme="majorHAnsi"/>
            <w:b/>
            <w:bCs/>
            <w:noProof/>
          </w:rPr>
          <w:t>OBJETIVO DO RELATÓRIO</w:t>
        </w:r>
        <w:r>
          <w:rPr>
            <w:noProof/>
            <w:webHidden/>
          </w:rPr>
          <w:tab/>
        </w:r>
        <w:r>
          <w:rPr>
            <w:noProof/>
            <w:webHidden/>
          </w:rPr>
          <w:fldChar w:fldCharType="begin"/>
        </w:r>
        <w:r>
          <w:rPr>
            <w:noProof/>
            <w:webHidden/>
          </w:rPr>
          <w:instrText xml:space="preserve"> PAGEREF _Toc223442904 \h </w:instrText>
        </w:r>
        <w:r>
          <w:rPr>
            <w:noProof/>
            <w:webHidden/>
          </w:rPr>
        </w:r>
        <w:r>
          <w:rPr>
            <w:noProof/>
            <w:webHidden/>
          </w:rPr>
          <w:fldChar w:fldCharType="separate"/>
        </w:r>
        <w:r>
          <w:rPr>
            <w:noProof/>
            <w:webHidden/>
          </w:rPr>
          <w:t>6</w:t>
        </w:r>
        <w:r>
          <w:rPr>
            <w:noProof/>
            <w:webHidden/>
          </w:rPr>
          <w:fldChar w:fldCharType="end"/>
        </w:r>
      </w:hyperlink>
    </w:p>
    <w:p w:rsidR="007174EC" w:rsidRDefault="007174EC">
      <w:pPr>
        <w:pStyle w:val="Sumrio1"/>
        <w:tabs>
          <w:tab w:val="left" w:pos="440"/>
          <w:tab w:val="right" w:leader="dot" w:pos="9062"/>
        </w:tabs>
        <w:rPr>
          <w:noProof/>
        </w:rPr>
      </w:pPr>
      <w:hyperlink w:anchor="_Toc223442905" w:history="1">
        <w:r w:rsidRPr="00C13EA4">
          <w:rPr>
            <w:rStyle w:val="Hyperlink"/>
            <w:rFonts w:asciiTheme="majorHAnsi" w:eastAsia="Times New Roman" w:hAnsiTheme="majorHAnsi" w:cstheme="majorHAnsi"/>
            <w:b/>
            <w:bCs/>
            <w:noProof/>
            <w:lang w:val="pt-BR"/>
          </w:rPr>
          <w:t>3.</w:t>
        </w:r>
        <w:r>
          <w:rPr>
            <w:noProof/>
          </w:rPr>
          <w:tab/>
        </w:r>
        <w:r w:rsidRPr="00C13EA4">
          <w:rPr>
            <w:rStyle w:val="Hyperlink"/>
            <w:rFonts w:asciiTheme="majorHAnsi" w:eastAsia="Times New Roman" w:hAnsiTheme="majorHAnsi" w:cstheme="majorHAnsi"/>
            <w:b/>
            <w:bCs/>
            <w:noProof/>
            <w:lang w:val="pt-BR"/>
          </w:rPr>
          <w:t>EVOLUÇÃO DO PAINEL ESTRATÉGICO NO CICLO 2021 - 2026</w:t>
        </w:r>
        <w:r>
          <w:rPr>
            <w:noProof/>
            <w:webHidden/>
          </w:rPr>
          <w:tab/>
        </w:r>
        <w:r>
          <w:rPr>
            <w:noProof/>
            <w:webHidden/>
          </w:rPr>
          <w:fldChar w:fldCharType="begin"/>
        </w:r>
        <w:r>
          <w:rPr>
            <w:noProof/>
            <w:webHidden/>
          </w:rPr>
          <w:instrText xml:space="preserve"> PAGEREF _Toc223442905 \h </w:instrText>
        </w:r>
        <w:r>
          <w:rPr>
            <w:noProof/>
            <w:webHidden/>
          </w:rPr>
        </w:r>
        <w:r>
          <w:rPr>
            <w:noProof/>
            <w:webHidden/>
          </w:rPr>
          <w:fldChar w:fldCharType="separate"/>
        </w:r>
        <w:r>
          <w:rPr>
            <w:noProof/>
            <w:webHidden/>
          </w:rPr>
          <w:t>6</w:t>
        </w:r>
        <w:r>
          <w:rPr>
            <w:noProof/>
            <w:webHidden/>
          </w:rPr>
          <w:fldChar w:fldCharType="end"/>
        </w:r>
      </w:hyperlink>
    </w:p>
    <w:p w:rsidR="007174EC" w:rsidRDefault="007174EC">
      <w:pPr>
        <w:pStyle w:val="Sumrio1"/>
        <w:tabs>
          <w:tab w:val="left" w:pos="440"/>
          <w:tab w:val="right" w:leader="dot" w:pos="9062"/>
        </w:tabs>
        <w:rPr>
          <w:noProof/>
        </w:rPr>
      </w:pPr>
      <w:hyperlink w:anchor="_Toc223442906" w:history="1">
        <w:r w:rsidRPr="00C13EA4">
          <w:rPr>
            <w:rStyle w:val="Hyperlink"/>
            <w:rFonts w:asciiTheme="majorHAnsi" w:eastAsia="Times New Roman" w:hAnsiTheme="majorHAnsi" w:cstheme="majorHAnsi"/>
            <w:b/>
            <w:bCs/>
            <w:noProof/>
          </w:rPr>
          <w:t>4.</w:t>
        </w:r>
        <w:r>
          <w:rPr>
            <w:noProof/>
          </w:rPr>
          <w:tab/>
        </w:r>
        <w:r w:rsidRPr="00C13EA4">
          <w:rPr>
            <w:rStyle w:val="Hyperlink"/>
            <w:rFonts w:asciiTheme="majorHAnsi" w:eastAsia="Times New Roman" w:hAnsiTheme="majorHAnsi" w:cstheme="majorHAnsi"/>
            <w:b/>
            <w:bCs/>
            <w:noProof/>
          </w:rPr>
          <w:t>RESULTADOS ALCANÇADOS</w:t>
        </w:r>
        <w:r>
          <w:rPr>
            <w:noProof/>
            <w:webHidden/>
          </w:rPr>
          <w:tab/>
        </w:r>
        <w:r>
          <w:rPr>
            <w:noProof/>
            <w:webHidden/>
          </w:rPr>
          <w:fldChar w:fldCharType="begin"/>
        </w:r>
        <w:r>
          <w:rPr>
            <w:noProof/>
            <w:webHidden/>
          </w:rPr>
          <w:instrText xml:space="preserve"> PAGEREF _Toc223442906 \h </w:instrText>
        </w:r>
        <w:r>
          <w:rPr>
            <w:noProof/>
            <w:webHidden/>
          </w:rPr>
        </w:r>
        <w:r>
          <w:rPr>
            <w:noProof/>
            <w:webHidden/>
          </w:rPr>
          <w:fldChar w:fldCharType="separate"/>
        </w:r>
        <w:r>
          <w:rPr>
            <w:noProof/>
            <w:webHidden/>
          </w:rPr>
          <w:t>7</w:t>
        </w:r>
        <w:r>
          <w:rPr>
            <w:noProof/>
            <w:webHidden/>
          </w:rPr>
          <w:fldChar w:fldCharType="end"/>
        </w:r>
      </w:hyperlink>
    </w:p>
    <w:p w:rsidR="007174EC" w:rsidRDefault="007174EC">
      <w:pPr>
        <w:pStyle w:val="Sumrio2"/>
        <w:tabs>
          <w:tab w:val="left" w:pos="880"/>
          <w:tab w:val="right" w:leader="dot" w:pos="9062"/>
        </w:tabs>
        <w:rPr>
          <w:noProof/>
        </w:rPr>
      </w:pPr>
      <w:hyperlink w:anchor="_Toc223442907" w:history="1">
        <w:r w:rsidRPr="00C13EA4">
          <w:rPr>
            <w:rStyle w:val="Hyperlink"/>
            <w:rFonts w:asciiTheme="majorHAnsi" w:eastAsia="Times New Roman" w:hAnsiTheme="majorHAnsi" w:cstheme="majorHAnsi"/>
            <w:b/>
            <w:bCs/>
            <w:noProof/>
          </w:rPr>
          <w:t>4.1</w:t>
        </w:r>
        <w:r>
          <w:rPr>
            <w:noProof/>
          </w:rPr>
          <w:tab/>
        </w:r>
        <w:r w:rsidRPr="00C13EA4">
          <w:rPr>
            <w:rStyle w:val="Hyperlink"/>
            <w:rFonts w:asciiTheme="majorHAnsi" w:eastAsia="Times New Roman" w:hAnsiTheme="majorHAnsi" w:cstheme="majorHAnsi"/>
            <w:b/>
            <w:bCs/>
            <w:noProof/>
          </w:rPr>
          <w:t>MONITORAMENTO DAS METAS NACIONAIS</w:t>
        </w:r>
        <w:r>
          <w:rPr>
            <w:noProof/>
            <w:webHidden/>
          </w:rPr>
          <w:tab/>
        </w:r>
        <w:r>
          <w:rPr>
            <w:noProof/>
            <w:webHidden/>
          </w:rPr>
          <w:fldChar w:fldCharType="begin"/>
        </w:r>
        <w:r>
          <w:rPr>
            <w:noProof/>
            <w:webHidden/>
          </w:rPr>
          <w:instrText xml:space="preserve"> PAGEREF _Toc223442907 \h </w:instrText>
        </w:r>
        <w:r>
          <w:rPr>
            <w:noProof/>
            <w:webHidden/>
          </w:rPr>
        </w:r>
        <w:r>
          <w:rPr>
            <w:noProof/>
            <w:webHidden/>
          </w:rPr>
          <w:fldChar w:fldCharType="separate"/>
        </w:r>
        <w:r>
          <w:rPr>
            <w:noProof/>
            <w:webHidden/>
          </w:rPr>
          <w:t>8</w:t>
        </w:r>
        <w:r>
          <w:rPr>
            <w:noProof/>
            <w:webHidden/>
          </w:rPr>
          <w:fldChar w:fldCharType="end"/>
        </w:r>
      </w:hyperlink>
    </w:p>
    <w:p w:rsidR="007174EC" w:rsidRDefault="007174EC">
      <w:pPr>
        <w:pStyle w:val="Sumrio2"/>
        <w:tabs>
          <w:tab w:val="left" w:pos="880"/>
          <w:tab w:val="right" w:leader="dot" w:pos="9062"/>
        </w:tabs>
        <w:rPr>
          <w:noProof/>
        </w:rPr>
      </w:pPr>
      <w:hyperlink w:anchor="_Toc223442908" w:history="1">
        <w:r w:rsidRPr="00C13EA4">
          <w:rPr>
            <w:rStyle w:val="Hyperlink"/>
            <w:rFonts w:asciiTheme="majorHAnsi" w:eastAsia="Times New Roman" w:hAnsiTheme="majorHAnsi" w:cstheme="majorHAnsi"/>
            <w:b/>
            <w:bCs/>
            <w:noProof/>
          </w:rPr>
          <w:t>4.2</w:t>
        </w:r>
        <w:r>
          <w:rPr>
            <w:noProof/>
          </w:rPr>
          <w:tab/>
        </w:r>
        <w:r w:rsidRPr="00C13EA4">
          <w:rPr>
            <w:rStyle w:val="Hyperlink"/>
            <w:rFonts w:asciiTheme="majorHAnsi" w:eastAsia="Times New Roman" w:hAnsiTheme="majorHAnsi" w:cstheme="majorHAnsi"/>
            <w:b/>
            <w:bCs/>
            <w:noProof/>
          </w:rPr>
          <w:t>MONITORAMENTO DAS METAS INSTITUCIONAIS</w:t>
        </w:r>
        <w:r>
          <w:rPr>
            <w:noProof/>
            <w:webHidden/>
          </w:rPr>
          <w:tab/>
        </w:r>
        <w:r>
          <w:rPr>
            <w:noProof/>
            <w:webHidden/>
          </w:rPr>
          <w:fldChar w:fldCharType="begin"/>
        </w:r>
        <w:r>
          <w:rPr>
            <w:noProof/>
            <w:webHidden/>
          </w:rPr>
          <w:instrText xml:space="preserve"> PAGEREF _Toc223442908 \h </w:instrText>
        </w:r>
        <w:r>
          <w:rPr>
            <w:noProof/>
            <w:webHidden/>
          </w:rPr>
        </w:r>
        <w:r>
          <w:rPr>
            <w:noProof/>
            <w:webHidden/>
          </w:rPr>
          <w:fldChar w:fldCharType="separate"/>
        </w:r>
        <w:r>
          <w:rPr>
            <w:noProof/>
            <w:webHidden/>
          </w:rPr>
          <w:t>9</w:t>
        </w:r>
        <w:r>
          <w:rPr>
            <w:noProof/>
            <w:webHidden/>
          </w:rPr>
          <w:fldChar w:fldCharType="end"/>
        </w:r>
      </w:hyperlink>
    </w:p>
    <w:p w:rsidR="00760DE1" w:rsidRPr="0087435D" w:rsidRDefault="007174EC" w:rsidP="007174EC">
      <w:pPr>
        <w:spacing w:after="240"/>
        <w:rPr>
          <w:lang w:val="pt-BR"/>
        </w:rPr>
      </w:pPr>
      <w:r w:rsidRPr="005B3F42">
        <w:rPr>
          <w:rFonts w:ascii="Calibri" w:hAnsi="Calibri" w:cs="Calibri"/>
        </w:rPr>
        <w:fldChar w:fldCharType="end"/>
      </w:r>
    </w:p>
    <w:p w:rsidR="00760DE1" w:rsidRPr="0087435D" w:rsidRDefault="0087435D">
      <w:pPr>
        <w:spacing w:before="120" w:after="60"/>
        <w:rPr>
          <w:lang w:val="pt-BR"/>
        </w:rPr>
      </w:pPr>
      <w:r w:rsidRPr="0087435D">
        <w:rPr>
          <w:rFonts w:ascii="Calibri" w:hAnsi="Calibri"/>
          <w:b/>
          <w:sz w:val="20"/>
          <w:lang w:val="pt-BR"/>
        </w:rPr>
        <w:t>PRESIDÊNCIA</w:t>
      </w:r>
    </w:p>
    <w:p w:rsidR="00760DE1" w:rsidRPr="0087435D" w:rsidRDefault="0087435D">
      <w:pPr>
        <w:tabs>
          <w:tab w:val="right" w:leader="dot" w:pos="9072"/>
        </w:tabs>
        <w:spacing w:after="0"/>
        <w:ind w:left="113"/>
        <w:rPr>
          <w:lang w:val="pt-BR"/>
        </w:rPr>
      </w:pPr>
      <w:r w:rsidRPr="0087435D">
        <w:rPr>
          <w:rFonts w:ascii="Calibri" w:hAnsi="Calibri"/>
          <w:sz w:val="20"/>
          <w:lang w:val="pt-BR"/>
        </w:rPr>
        <w:t>TJMG 111 - Executar, até dezembro de 2025, 80% (oitenta por cento) das ações previstas para o ano vigente no programa D.I.A (Programa de Desenvolvimento, Inclusão e Acessibilidade).</w:t>
      </w:r>
      <w:r w:rsidRPr="0087435D">
        <w:rPr>
          <w:lang w:val="pt-BR"/>
        </w:rPr>
        <w:tab/>
      </w:r>
      <w:r>
        <w:rPr>
          <w:rFonts w:ascii="Calibri" w:hAnsi="Calibri"/>
          <w:sz w:val="20"/>
        </w:rPr>
        <w:fldChar w:fldCharType="begin"/>
      </w:r>
      <w:r w:rsidRPr="0087435D">
        <w:rPr>
          <w:rFonts w:ascii="Calibri" w:hAnsi="Calibri"/>
          <w:sz w:val="20"/>
          <w:lang w:val="pt-BR"/>
        </w:rPr>
        <w:instrText>PAGEREF meta_PRESIDÊNCIA_0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10</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124 - Alcançar 20.000 (vinte mil) pessoas com ações relacionadas à prevenção e combate à violência doméstica e familiar, com a participação direta da população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131 - Executar 100% (cem por cento) das entregas relativas à validação do fluxo de implantação dos Fóruns Digitais e à alteração da Resolução 1.061/2023.</w:t>
      </w:r>
      <w:r w:rsidRPr="0087435D">
        <w:rPr>
          <w:lang w:val="pt-BR"/>
        </w:rPr>
        <w:tab/>
      </w:r>
      <w:r>
        <w:rPr>
          <w:rFonts w:ascii="Calibri" w:hAnsi="Calibri"/>
          <w:sz w:val="20"/>
        </w:rPr>
        <w:fldChar w:fldCharType="begin"/>
      </w:r>
      <w:r w:rsidRPr="0087435D">
        <w:rPr>
          <w:rFonts w:ascii="Calibri" w:hAnsi="Calibri"/>
          <w:sz w:val="20"/>
          <w:lang w:val="pt-BR"/>
        </w:rPr>
        <w:instrText>PAGEREF meta_PRESIDÊNCIA_2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12</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143 - Aumentar, até 18/12/2025, em pelo menos 10% (dez por cento) o número de municípios que promovem o Programa Descubra (referência março/2025: 21 municípios).</w:t>
      </w:r>
      <w:r w:rsidRPr="0087435D">
        <w:rPr>
          <w:lang w:val="pt-BR"/>
        </w:rPr>
        <w:tab/>
      </w:r>
      <w:r>
        <w:rPr>
          <w:rFonts w:ascii="Calibri" w:hAnsi="Calibri"/>
          <w:sz w:val="20"/>
        </w:rPr>
        <w:fldChar w:fldCharType="begin"/>
      </w:r>
      <w:r w:rsidRPr="0087435D">
        <w:rPr>
          <w:rFonts w:ascii="Calibri" w:hAnsi="Calibri"/>
          <w:sz w:val="20"/>
          <w:lang w:val="pt-BR"/>
        </w:rPr>
        <w:instrText>PAGEREF meta_PRESIDÊNCIA_3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13</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144 - Obter, até 18/12/2025, pelo menos 10 (dez) parceiros cadastrados no Programa Descubra.</w:t>
      </w:r>
      <w:r w:rsidRPr="0087435D">
        <w:rPr>
          <w:lang w:val="pt-BR"/>
        </w:rPr>
        <w:tab/>
      </w:r>
      <w:r>
        <w:rPr>
          <w:rFonts w:ascii="Calibri" w:hAnsi="Calibri"/>
          <w:sz w:val="20"/>
        </w:rPr>
        <w:fldChar w:fldCharType="begin"/>
      </w:r>
      <w:r w:rsidRPr="0087435D">
        <w:rPr>
          <w:rFonts w:ascii="Calibri" w:hAnsi="Calibri"/>
          <w:sz w:val="20"/>
          <w:lang w:val="pt-BR"/>
        </w:rPr>
        <w:instrText>PAGEREF meta_PRESIDÊNCIA_4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14</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145 - Beneficiar, até 18/12/2025, pelo menos 250.000 (duzentas e cinquenta mil) pessoas com as ações de impacto social fomentadas pela COINJ.</w:t>
      </w:r>
      <w:r w:rsidRPr="0087435D">
        <w:rPr>
          <w:lang w:val="pt-BR"/>
        </w:rPr>
        <w:tab/>
      </w:r>
      <w:r>
        <w:rPr>
          <w:rFonts w:ascii="Calibri" w:hAnsi="Calibri"/>
          <w:sz w:val="20"/>
        </w:rPr>
        <w:fldChar w:fldCharType="begin"/>
      </w:r>
      <w:r w:rsidRPr="0087435D">
        <w:rPr>
          <w:rFonts w:ascii="Calibri" w:hAnsi="Calibri"/>
          <w:sz w:val="20"/>
          <w:lang w:val="pt-BR"/>
        </w:rPr>
        <w:instrText>PAGEREF meta_PRESIDÊNCIA_5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14</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150 – Garantir, no ano de 2025, a reserva de vagas para pessoas em condição de vulnerabilidade em pelo menos 01 (um) contrato de prestação de serviços continuados e terceirizados.</w:t>
      </w:r>
      <w:r w:rsidRPr="0087435D">
        <w:rPr>
          <w:lang w:val="pt-BR"/>
        </w:rPr>
        <w:tab/>
      </w:r>
      <w:r>
        <w:rPr>
          <w:rFonts w:ascii="Calibri" w:hAnsi="Calibri"/>
          <w:sz w:val="20"/>
        </w:rPr>
        <w:fldChar w:fldCharType="begin"/>
      </w:r>
      <w:r w:rsidRPr="0087435D">
        <w:rPr>
          <w:rFonts w:ascii="Calibri" w:hAnsi="Calibri"/>
          <w:sz w:val="20"/>
          <w:lang w:val="pt-BR"/>
        </w:rPr>
        <w:instrText>PAGEREF meta_PRESIDÊNCIA_6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16</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151 – Publicar, no Portal TJMG, 2 (dois) boletins de informação à sociedade,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meta_PRESIDÊNCIA_7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17 - Executar, até dezembro de 2025, 70% (setenta por cento) dos marcos previstos para o ano na iniciativa "Plano de estruturação organizacional para a produtividade na prestação jurisdicional".</w:t>
      </w:r>
      <w:r w:rsidRPr="0087435D">
        <w:rPr>
          <w:lang w:val="pt-BR"/>
        </w:rPr>
        <w:tab/>
      </w:r>
      <w:r>
        <w:rPr>
          <w:rFonts w:ascii="Calibri" w:hAnsi="Calibri"/>
          <w:sz w:val="20"/>
        </w:rPr>
        <w:fldChar w:fldCharType="begin"/>
      </w:r>
      <w:r w:rsidRPr="0087435D">
        <w:rPr>
          <w:rFonts w:ascii="Calibri" w:hAnsi="Calibri"/>
          <w:sz w:val="20"/>
          <w:lang w:val="pt-BR"/>
        </w:rPr>
        <w:instrText>PAGEREF meta_PRESIDÊNCIA_8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18</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80 - Concluir, até dezembro de 2025, 100% (cem por cento) das atividades previstas para o ano no Programa de Desenvolvimento da Atuação do Centro de Inteligência da Justiça de Minas Gerais.</w:t>
      </w:r>
      <w:r w:rsidRPr="0087435D">
        <w:rPr>
          <w:lang w:val="pt-BR"/>
        </w:rPr>
        <w:tab/>
      </w:r>
      <w:r>
        <w:rPr>
          <w:rFonts w:ascii="Calibri" w:hAnsi="Calibri"/>
          <w:sz w:val="20"/>
        </w:rPr>
        <w:fldChar w:fldCharType="begin"/>
      </w:r>
      <w:r w:rsidRPr="0087435D">
        <w:rPr>
          <w:rFonts w:ascii="Calibri" w:hAnsi="Calibri"/>
          <w:sz w:val="20"/>
          <w:lang w:val="pt-BR"/>
        </w:rPr>
        <w:instrText>PAGEREF meta_PRESIDÊNCIA_9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20</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85 - Proferir, em 2025, 60.000 (sessenta mil) atos de cooperação (audiências, júri, sentenças, decisões, despachos), em processos cíveis e criminais, em caráter de cooperação no Programa Pontualidade 5.0.</w:t>
      </w:r>
      <w:r w:rsidRPr="0087435D">
        <w:rPr>
          <w:lang w:val="pt-BR"/>
        </w:rPr>
        <w:tab/>
      </w:r>
      <w:r>
        <w:rPr>
          <w:rFonts w:ascii="Calibri" w:hAnsi="Calibri"/>
          <w:sz w:val="20"/>
        </w:rPr>
        <w:fldChar w:fldCharType="begin"/>
      </w:r>
      <w:r w:rsidRPr="0087435D">
        <w:rPr>
          <w:rFonts w:ascii="Calibri" w:hAnsi="Calibri"/>
          <w:sz w:val="20"/>
          <w:lang w:val="pt-BR"/>
        </w:rPr>
        <w:instrText>PAGEREF meta_PRESIDÊNCIA_10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128 - Cessar a competência delegada nas ações previdenciárias e execuções fiscais em pelo menos 40 (quarenta) comarcas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22</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130 - Implantar a Central de Processos Eletrônicos (CPE) em 13 (treze) Grupos Jurisdicionais das Turmas Recursais do Tribunal de Justiça de Minas Gerais, no ano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23</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133 - Instalar, em 2025, o </w:t>
      </w:r>
      <w:proofErr w:type="spellStart"/>
      <w:r w:rsidRPr="0087435D">
        <w:rPr>
          <w:rFonts w:ascii="Calibri" w:hAnsi="Calibri"/>
          <w:sz w:val="20"/>
          <w:lang w:val="pt-BR"/>
        </w:rPr>
        <w:t>eproc</w:t>
      </w:r>
      <w:proofErr w:type="spellEnd"/>
      <w:r w:rsidRPr="0087435D">
        <w:rPr>
          <w:rFonts w:ascii="Calibri" w:hAnsi="Calibri"/>
          <w:sz w:val="20"/>
          <w:lang w:val="pt-BR"/>
        </w:rPr>
        <w:t xml:space="preserve"> nas unidades da justiça comum e especial com competência cível de Belo Horizonte, e nas </w:t>
      </w:r>
      <w:proofErr w:type="gramStart"/>
      <w:r w:rsidRPr="0087435D">
        <w:rPr>
          <w:rFonts w:ascii="Calibri" w:hAnsi="Calibri"/>
          <w:sz w:val="20"/>
          <w:lang w:val="pt-BR"/>
        </w:rPr>
        <w:t>Câmaras</w:t>
      </w:r>
      <w:proofErr w:type="gramEnd"/>
      <w:r w:rsidRPr="0087435D">
        <w:rPr>
          <w:rFonts w:ascii="Calibri" w:hAnsi="Calibri"/>
          <w:sz w:val="20"/>
          <w:lang w:val="pt-BR"/>
        </w:rPr>
        <w:t xml:space="preserve"> do Tribunal de Justiça com competências originárias da segunda instância, Mandado de Segurança, Rescisória e Reclamação.</w:t>
      </w:r>
      <w:r w:rsidRPr="0087435D">
        <w:rPr>
          <w:lang w:val="pt-BR"/>
        </w:rPr>
        <w:tab/>
      </w:r>
      <w:r>
        <w:rPr>
          <w:rFonts w:ascii="Calibri" w:hAnsi="Calibri"/>
          <w:sz w:val="20"/>
        </w:rPr>
        <w:fldChar w:fldCharType="begin"/>
      </w:r>
      <w:r w:rsidRPr="0087435D">
        <w:rPr>
          <w:rFonts w:ascii="Calibri" w:hAnsi="Calibri"/>
          <w:sz w:val="20"/>
          <w:lang w:val="pt-BR"/>
        </w:rPr>
        <w:instrText>PAGEREF meta_PRESIDÊNCIA_13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24</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156 - Implantar o </w:t>
      </w:r>
      <w:proofErr w:type="spellStart"/>
      <w:r w:rsidRPr="0087435D">
        <w:rPr>
          <w:rFonts w:ascii="Calibri" w:hAnsi="Calibri"/>
          <w:sz w:val="20"/>
          <w:lang w:val="pt-BR"/>
        </w:rPr>
        <w:t>eproc</w:t>
      </w:r>
      <w:proofErr w:type="spellEnd"/>
      <w:r w:rsidRPr="0087435D">
        <w:rPr>
          <w:rFonts w:ascii="Calibri" w:hAnsi="Calibri"/>
          <w:sz w:val="20"/>
          <w:lang w:val="pt-BR"/>
        </w:rPr>
        <w:t xml:space="preserve"> em 84 (oitenta e quatro) comarcas do Interior com competência cível lato sensu, conforme os ciclos previstos na Portaria Conjunta nº 1.681/2025,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25</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62 - Cumprir, até dezembro de 2025, 100% (cem por cento) das entregas previstas, para o ano, no Programa INOVA TJMG.</w:t>
      </w:r>
      <w:r w:rsidRPr="0087435D">
        <w:rPr>
          <w:lang w:val="pt-BR"/>
        </w:rPr>
        <w:tab/>
      </w:r>
      <w:r>
        <w:rPr>
          <w:rFonts w:ascii="Calibri" w:hAnsi="Calibri"/>
          <w:sz w:val="20"/>
        </w:rPr>
        <w:fldChar w:fldCharType="begin"/>
      </w:r>
      <w:r w:rsidRPr="0087435D">
        <w:rPr>
          <w:rFonts w:ascii="Calibri" w:hAnsi="Calibri"/>
          <w:sz w:val="20"/>
          <w:lang w:val="pt-BR"/>
        </w:rPr>
        <w:instrText>PAGEREF meta_PRESIDÊNCIA_15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26</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109 - Emitir, até 31/12/2025, Termo de Autorização de Ocupação - TAO ou, quando não houver ocupação, Termo de Recebimento Provisório - TRP, para pelo menos 70% (setenta por cento) das obras previstas no para o ano no Plano de Obras.</w:t>
      </w:r>
      <w:r w:rsidRPr="0087435D">
        <w:rPr>
          <w:lang w:val="pt-BR"/>
        </w:rPr>
        <w:tab/>
      </w:r>
      <w:r>
        <w:rPr>
          <w:rFonts w:ascii="Calibri" w:hAnsi="Calibri"/>
          <w:sz w:val="20"/>
        </w:rPr>
        <w:fldChar w:fldCharType="begin"/>
      </w:r>
      <w:r w:rsidRPr="0087435D">
        <w:rPr>
          <w:rFonts w:ascii="Calibri" w:hAnsi="Calibri"/>
          <w:sz w:val="20"/>
          <w:lang w:val="pt-BR"/>
        </w:rPr>
        <w:instrText>PAGEREF meta_PRESIDÊNCIA_16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123 - Concluir 100% (cem por cento) das entregas previstas para o “Programa de Modernização dos Plenários, suas Áreas Externas e dos Painéis de Comunicação”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meta_PRESIDÊNCIA_17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28</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126 - Realizar 100% (cem por cento) das etapas necessárias para a informatização do setor de precatórios do TJMG até 19/12/2025.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meta_PRESIDÊNCIA_18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30</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lastRenderedPageBreak/>
        <w:t xml:space="preserve">TJMG 152 - Elaborar, em 2025, o Plano inicial de </w:t>
      </w:r>
      <w:proofErr w:type="spellStart"/>
      <w:r w:rsidRPr="0087435D">
        <w:rPr>
          <w:rFonts w:ascii="Calibri" w:hAnsi="Calibri"/>
          <w:sz w:val="20"/>
          <w:lang w:val="pt-BR"/>
        </w:rPr>
        <w:t>descarbonização</w:t>
      </w:r>
      <w:proofErr w:type="spellEnd"/>
      <w:r w:rsidRPr="0087435D">
        <w:rPr>
          <w:rFonts w:ascii="Calibri" w:hAnsi="Calibri"/>
          <w:sz w:val="20"/>
          <w:lang w:val="pt-BR"/>
        </w:rPr>
        <w:t xml:space="preserve"> do TJMG (100% cem porcento). (após concepção de relatório de inventário).</w:t>
      </w:r>
      <w:r w:rsidRPr="0087435D">
        <w:rPr>
          <w:lang w:val="pt-BR"/>
        </w:rPr>
        <w:tab/>
      </w:r>
      <w:r>
        <w:rPr>
          <w:rFonts w:ascii="Calibri" w:hAnsi="Calibri"/>
          <w:sz w:val="20"/>
        </w:rPr>
        <w:fldChar w:fldCharType="begin"/>
      </w:r>
      <w:r w:rsidRPr="0087435D">
        <w:rPr>
          <w:rFonts w:ascii="Calibri" w:hAnsi="Calibri"/>
          <w:sz w:val="20"/>
          <w:lang w:val="pt-BR"/>
        </w:rPr>
        <w:instrText>PAGEREF meta_PRESIDÊNCIA_19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153 - Ofertar pelo menos 04 (quatro) turmas dos cursos voltados para a gestão socioambiental e realizar 05 (cinco) campanhas ou ações de sensibilização sobre a temática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meta_PRESIDÊNCIA_20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154 – Definir e preparar, até dezembro de 2025, 100% (cem por cento) dos conjuntos de dados do TJMG que serão adequados ao formato aberto, a ser disponibilizado no portal na primeira fase do projeto.</w:t>
      </w:r>
      <w:r w:rsidRPr="0087435D">
        <w:rPr>
          <w:lang w:val="pt-BR"/>
        </w:rPr>
        <w:tab/>
      </w:r>
      <w:r>
        <w:rPr>
          <w:rFonts w:ascii="Calibri" w:hAnsi="Calibri"/>
          <w:sz w:val="20"/>
        </w:rPr>
        <w:fldChar w:fldCharType="begin"/>
      </w:r>
      <w:r w:rsidRPr="0087435D">
        <w:rPr>
          <w:rFonts w:ascii="Calibri" w:hAnsi="Calibri"/>
          <w:sz w:val="20"/>
          <w:lang w:val="pt-BR"/>
        </w:rPr>
        <w:instrText>PAGEREF meta_PRESIDÊNCIA_21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32</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87435D">
        <w:rPr>
          <w:lang w:val="pt-BR"/>
        </w:rPr>
        <w:tab/>
      </w:r>
      <w:r>
        <w:rPr>
          <w:rFonts w:ascii="Calibri" w:hAnsi="Calibri"/>
          <w:sz w:val="20"/>
        </w:rPr>
        <w:fldChar w:fldCharType="begin"/>
      </w:r>
      <w:r w:rsidRPr="0087435D">
        <w:rPr>
          <w:rFonts w:ascii="Calibri" w:hAnsi="Calibri"/>
          <w:sz w:val="20"/>
          <w:lang w:val="pt-BR"/>
        </w:rPr>
        <w:instrText>PAGEREF meta_PRESIDÊNCIA_22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33</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69 - Cumprir, até 31/12/2025, 90% (noventa por cento) das atividades relacionadas ao Projeto de Gestão de Receitas do TJMG previstas para o ano de 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meta_PRESIDÊNCIA_23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34</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136 - Colocar, pelo menos, 1 (um) Mínimo Produto Viável (MVP) relativo ao Sistema de Gestão Financeira e Orçamentária em produção até 31/10/2025.</w:t>
      </w:r>
      <w:r w:rsidRPr="0087435D">
        <w:rPr>
          <w:lang w:val="pt-BR"/>
        </w:rPr>
        <w:tab/>
      </w:r>
      <w:r>
        <w:rPr>
          <w:rFonts w:ascii="Calibri" w:hAnsi="Calibri"/>
          <w:sz w:val="20"/>
        </w:rPr>
        <w:fldChar w:fldCharType="begin"/>
      </w:r>
      <w:r w:rsidRPr="0087435D">
        <w:rPr>
          <w:rFonts w:ascii="Calibri" w:hAnsi="Calibri"/>
          <w:sz w:val="20"/>
          <w:lang w:val="pt-BR"/>
        </w:rPr>
        <w:instrText>PAGEREF meta_PRESIDÊNCIA_24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35</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137 - Concluir, até 19/12/2025, 40% do projeto de implantação Sistema de Gestão Financeira dos Depósitos Judiciais – SIDEJUD.</w:t>
      </w:r>
      <w:r w:rsidRPr="0087435D">
        <w:rPr>
          <w:lang w:val="pt-BR"/>
        </w:rPr>
        <w:tab/>
      </w:r>
      <w:r>
        <w:rPr>
          <w:rFonts w:ascii="Calibri" w:hAnsi="Calibri"/>
          <w:sz w:val="20"/>
        </w:rPr>
        <w:fldChar w:fldCharType="begin"/>
      </w:r>
      <w:r w:rsidRPr="0087435D">
        <w:rPr>
          <w:rFonts w:ascii="Calibri" w:hAnsi="Calibri"/>
          <w:sz w:val="20"/>
          <w:lang w:val="pt-BR"/>
        </w:rPr>
        <w:instrText>PAGEREF meta_PRESIDÊNCIA_25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36</w:t>
      </w:r>
      <w:r>
        <w:rPr>
          <w:rFonts w:ascii="Calibri" w:hAnsi="Calibri"/>
          <w:sz w:val="20"/>
        </w:rPr>
        <w:fldChar w:fldCharType="end"/>
      </w:r>
    </w:p>
    <w:p w:rsidR="00760DE1" w:rsidRPr="0087435D" w:rsidRDefault="0087435D">
      <w:pPr>
        <w:spacing w:before="120" w:after="60"/>
        <w:rPr>
          <w:lang w:val="pt-BR"/>
        </w:rPr>
      </w:pPr>
      <w:r w:rsidRPr="0087435D">
        <w:rPr>
          <w:rFonts w:ascii="Calibri" w:hAnsi="Calibri"/>
          <w:b/>
          <w:sz w:val="20"/>
          <w:lang w:val="pt-BR"/>
        </w:rPr>
        <w:t>1ª VICE-PRESIDÊNCIA</w:t>
      </w:r>
    </w:p>
    <w:p w:rsidR="00760DE1" w:rsidRPr="0087435D" w:rsidRDefault="0087435D">
      <w:pPr>
        <w:tabs>
          <w:tab w:val="right" w:leader="dot" w:pos="9072"/>
        </w:tabs>
        <w:spacing w:after="0"/>
        <w:ind w:left="113"/>
        <w:rPr>
          <w:lang w:val="pt-BR"/>
        </w:rPr>
      </w:pPr>
      <w:r w:rsidRPr="0087435D">
        <w:rPr>
          <w:rFonts w:ascii="Calibri" w:hAnsi="Calibri"/>
          <w:sz w:val="20"/>
          <w:lang w:val="pt-BR"/>
        </w:rPr>
        <w:t>TJMG 5 - Realizar, em 2025, 70% (setenta por cento) dos julgamentos monocráticos, pelo relator, em 60 (sessenta) dias (desconsiderado o tempo de permanência em carga aos Advogados e aos Órgãos Externos, 25 (vinte e cinco) dias).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6 - Realizar, em 2025, 70% (setenta por cento) dos julgamentos colegiados em até 100 dias. (desconsiderado o tempo de permanência em carga aos Advogados e aos Órgãos Externos, 25 (vinte e cinco) dias).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38</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7 - Publicar, em 2025, 95% (noventa e cinco por cento) dos acórdãos no prazo máximo de 10 (dez) dias após o julgamento dos processos.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39</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91 - Movimentar 95% (noventa e cinco por cento) do acervo processual em prazo inferior a 60 (sessenta) dias.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39</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115 - Devolver para o respectivo Cartório 95% (noventa e cinco por cento) dos processos conclusos no prazo de até 90 (noventa) dias, contado da data da conclusão.</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39</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132 - Executar, em 2025, 100% (cem por cento) das atividades previstas no Programa 1ª Vice SOMA - Suporte à organização, cumprimento de metas e aperfeiçoamento gerencial.</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meta_1ª_VICE_PRESIDÊNCIA_5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39</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29 - Julgar, em 2025, em até 100 (cem) dias, 80% (oitenta por cento) dos processos vinculados em razão de repercussão geral e repetitividade de recursos e feitos após trânsito em julgado do tema 2º Grau.</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meta_1ª_VICE_PRESIDÊNCIA_6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59 - Julgar, até 31/12/2025, 85% (oitenta e cinco por cento) das ações coletivas distribuídas até 31/12/2023 no 2º Grau.</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meta_1ª_VICE_PRESIDÊNCIA_7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134 - Julgar, em 2025, 60% (sessenta por cento) dos </w:t>
      </w:r>
      <w:proofErr w:type="spellStart"/>
      <w:r w:rsidRPr="0087435D">
        <w:rPr>
          <w:rFonts w:ascii="Calibri" w:hAnsi="Calibri"/>
          <w:sz w:val="20"/>
          <w:lang w:val="pt-BR"/>
        </w:rPr>
        <w:t>IRDRs</w:t>
      </w:r>
      <w:proofErr w:type="spellEnd"/>
      <w:r w:rsidRPr="0087435D">
        <w:rPr>
          <w:rFonts w:ascii="Calibri" w:hAnsi="Calibri"/>
          <w:sz w:val="20"/>
          <w:lang w:val="pt-BR"/>
        </w:rPr>
        <w:t>/IACS em até 320 (trezentos e vinte) dias após a admissão, (desconsiderado o tempo médio de permanência em carga a Advogados ou Órgãos Externos, 25 (vinte e cinco) dias).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meta_1ª_VICE_PRESIDÊNCIA_8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135 - Exercer, em 2025, o juízo de admissibilidade em 100% (cem por cento) dos processos relacionados a </w:t>
      </w:r>
      <w:proofErr w:type="spellStart"/>
      <w:r w:rsidRPr="0087435D">
        <w:rPr>
          <w:rFonts w:ascii="Calibri" w:hAnsi="Calibri"/>
          <w:sz w:val="20"/>
          <w:lang w:val="pt-BR"/>
        </w:rPr>
        <w:t>IRDRs</w:t>
      </w:r>
      <w:proofErr w:type="spellEnd"/>
      <w:r w:rsidRPr="0087435D">
        <w:rPr>
          <w:rFonts w:ascii="Calibri" w:hAnsi="Calibri"/>
          <w:sz w:val="20"/>
          <w:lang w:val="pt-BR"/>
        </w:rPr>
        <w:t>/</w:t>
      </w:r>
      <w:proofErr w:type="spellStart"/>
      <w:r w:rsidRPr="0087435D">
        <w:rPr>
          <w:rFonts w:ascii="Calibri" w:hAnsi="Calibri"/>
          <w:sz w:val="20"/>
          <w:lang w:val="pt-BR"/>
        </w:rPr>
        <w:t>IACs</w:t>
      </w:r>
      <w:proofErr w:type="spellEnd"/>
      <w:r w:rsidRPr="0087435D">
        <w:rPr>
          <w:rFonts w:ascii="Calibri" w:hAnsi="Calibri"/>
          <w:sz w:val="20"/>
          <w:lang w:val="pt-BR"/>
        </w:rPr>
        <w:t xml:space="preserve"> em até 150 (cento e cinquenta) dias após a distribuição do requerimento.</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meta_1ª_VICE_PRESIDÊNCIA_9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42</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95 - Executar, no ano de 2025, 100% (cem por cento) das atividades previstas no projeto de Aprimoramento da Gestão de Cobrança de Custas Processuais.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meta_1ª_VICE_PRESIDÊNCIA_10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43</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96 - Executar, em 2025, 100% (cem por cento) das atividades previstas, para o ano, no programa de Ampliação da Eficácia da Sistemática dos Precedentes Qualificados.</w:t>
      </w:r>
      <w:r w:rsidRPr="0087435D">
        <w:rPr>
          <w:lang w:val="pt-BR"/>
        </w:rPr>
        <w:tab/>
      </w:r>
      <w:r>
        <w:rPr>
          <w:rFonts w:ascii="Calibri" w:hAnsi="Calibri"/>
          <w:sz w:val="20"/>
        </w:rPr>
        <w:fldChar w:fldCharType="begin"/>
      </w:r>
      <w:r w:rsidRPr="0087435D">
        <w:rPr>
          <w:rFonts w:ascii="Calibri" w:hAnsi="Calibri"/>
          <w:sz w:val="20"/>
          <w:lang w:val="pt-BR"/>
        </w:rPr>
        <w:instrText>PAGEREF meta_1ª_VICE_PRESIDÊNCIA_11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44</w:t>
      </w:r>
      <w:r>
        <w:rPr>
          <w:rFonts w:ascii="Calibri" w:hAnsi="Calibri"/>
          <w:sz w:val="20"/>
        </w:rPr>
        <w:fldChar w:fldCharType="end"/>
      </w:r>
    </w:p>
    <w:p w:rsidR="00760DE1" w:rsidRPr="0087435D" w:rsidRDefault="0087435D">
      <w:pPr>
        <w:spacing w:before="120" w:after="60"/>
        <w:rPr>
          <w:lang w:val="pt-BR"/>
        </w:rPr>
      </w:pPr>
      <w:r w:rsidRPr="0087435D">
        <w:rPr>
          <w:rFonts w:ascii="Calibri" w:hAnsi="Calibri"/>
          <w:b/>
          <w:sz w:val="20"/>
          <w:lang w:val="pt-BR"/>
        </w:rPr>
        <w:t>2ª VICE PRESIDÊNCIA</w:t>
      </w:r>
    </w:p>
    <w:p w:rsidR="00760DE1" w:rsidRPr="0087435D" w:rsidRDefault="0087435D">
      <w:pPr>
        <w:tabs>
          <w:tab w:val="right" w:leader="dot" w:pos="9072"/>
        </w:tabs>
        <w:spacing w:after="0"/>
        <w:ind w:left="113"/>
        <w:rPr>
          <w:lang w:val="pt-BR"/>
        </w:rPr>
      </w:pPr>
      <w:r w:rsidRPr="0087435D">
        <w:rPr>
          <w:rFonts w:ascii="Calibri" w:hAnsi="Calibri"/>
          <w:sz w:val="20"/>
          <w:lang w:val="pt-BR"/>
        </w:rPr>
        <w:t>TJMG 67 - Cumprir, até o final de 2025, 94% (noventa e quatro por cento) das etapas/entregas de consolidação do Programa de Pós-Graduação da EJEF previstas para o período de 2021-2026.</w:t>
      </w:r>
      <w:r w:rsidRPr="0087435D">
        <w:rPr>
          <w:lang w:val="pt-BR"/>
        </w:rPr>
        <w:tab/>
      </w:r>
      <w:r>
        <w:rPr>
          <w:rFonts w:ascii="Calibri" w:hAnsi="Calibri"/>
          <w:sz w:val="20"/>
        </w:rPr>
        <w:fldChar w:fldCharType="begin"/>
      </w:r>
      <w:r w:rsidRPr="0087435D">
        <w:rPr>
          <w:rFonts w:ascii="Calibri" w:hAnsi="Calibri"/>
          <w:sz w:val="20"/>
          <w:lang w:val="pt-BR"/>
        </w:rPr>
        <w:instrText>PAGEREF meta_2ª_VICE_PRESIDÊNCIA_0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45</w:t>
      </w:r>
      <w:r>
        <w:rPr>
          <w:rFonts w:ascii="Calibri" w:hAnsi="Calibri"/>
          <w:sz w:val="20"/>
        </w:rPr>
        <w:fldChar w:fldCharType="end"/>
      </w:r>
    </w:p>
    <w:p w:rsidR="00760DE1" w:rsidRPr="0087435D" w:rsidRDefault="0087435D">
      <w:pPr>
        <w:spacing w:before="120" w:after="60"/>
        <w:rPr>
          <w:lang w:val="pt-BR"/>
        </w:rPr>
      </w:pPr>
      <w:r w:rsidRPr="0087435D">
        <w:rPr>
          <w:rFonts w:ascii="Calibri" w:hAnsi="Calibri"/>
          <w:b/>
          <w:sz w:val="20"/>
          <w:lang w:val="pt-BR"/>
        </w:rPr>
        <w:t>3ª VICE - PRESIDÊNCIA</w:t>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100 - Promover, por ação própria ou mediante parceria com outros órgãos internos e externos ao TJMG, o oferecimento de serviços de </w:t>
      </w:r>
      <w:proofErr w:type="spellStart"/>
      <w:r w:rsidRPr="0087435D">
        <w:rPr>
          <w:rFonts w:ascii="Calibri" w:hAnsi="Calibri"/>
          <w:sz w:val="20"/>
          <w:lang w:val="pt-BR"/>
        </w:rPr>
        <w:t>itinerância</w:t>
      </w:r>
      <w:proofErr w:type="spellEnd"/>
      <w:r w:rsidRPr="0087435D">
        <w:rPr>
          <w:rFonts w:ascii="Calibri" w:hAnsi="Calibri"/>
          <w:sz w:val="20"/>
          <w:lang w:val="pt-BR"/>
        </w:rPr>
        <w:t xml:space="preserve"> em pelo menos 50 (cinquenta) ações,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meta_3ª_VICE___PRESIDÊNCIA_0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46</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lastRenderedPageBreak/>
        <w:t xml:space="preserve">TJMG 97 - Aumentar, em 2025, uma média de pelo menos 1% (um por cento) no número de sessões agendadas nos </w:t>
      </w:r>
      <w:proofErr w:type="spellStart"/>
      <w:r w:rsidRPr="0087435D">
        <w:rPr>
          <w:rFonts w:ascii="Calibri" w:hAnsi="Calibri"/>
          <w:sz w:val="20"/>
          <w:lang w:val="pt-BR"/>
        </w:rPr>
        <w:t>CEJUSCs</w:t>
      </w:r>
      <w:proofErr w:type="spellEnd"/>
      <w:r w:rsidRPr="0087435D">
        <w:rPr>
          <w:rFonts w:ascii="Calibri" w:hAnsi="Calibri"/>
          <w:sz w:val="20"/>
          <w:lang w:val="pt-BR"/>
        </w:rPr>
        <w:t xml:space="preserve"> em relação ao ano anterior.</w:t>
      </w:r>
      <w:r w:rsidRPr="0087435D">
        <w:rPr>
          <w:lang w:val="pt-BR"/>
        </w:rPr>
        <w:tab/>
      </w:r>
      <w:r>
        <w:rPr>
          <w:rFonts w:ascii="Calibri" w:hAnsi="Calibri"/>
          <w:sz w:val="20"/>
        </w:rPr>
        <w:fldChar w:fldCharType="begin"/>
      </w:r>
      <w:r w:rsidRPr="0087435D">
        <w:rPr>
          <w:rFonts w:ascii="Calibri" w:hAnsi="Calibri"/>
          <w:sz w:val="20"/>
          <w:lang w:val="pt-BR"/>
        </w:rPr>
        <w:instrText>PAGEREF meta_3ª_VICE___PRESIDÊNCIA_1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 xml:space="preserve">TJMG 138 - Promover, em 2025, um atendimento de, no mínimo, 1200 (um mil e duzentos) procedimentos </w:t>
      </w:r>
      <w:proofErr w:type="spellStart"/>
      <w:r w:rsidRPr="0087435D">
        <w:rPr>
          <w:rFonts w:ascii="Calibri" w:hAnsi="Calibri"/>
          <w:sz w:val="20"/>
          <w:lang w:val="pt-BR"/>
        </w:rPr>
        <w:t>pré</w:t>
      </w:r>
      <w:proofErr w:type="spellEnd"/>
      <w:r w:rsidRPr="0087435D">
        <w:rPr>
          <w:rFonts w:ascii="Calibri" w:hAnsi="Calibri"/>
          <w:sz w:val="20"/>
          <w:lang w:val="pt-BR"/>
        </w:rPr>
        <w:t>-processuais de reconhecimento de paternidade.</w:t>
      </w:r>
      <w:r w:rsidRPr="0087435D">
        <w:rPr>
          <w:lang w:val="pt-BR"/>
        </w:rPr>
        <w:tab/>
      </w:r>
      <w:r>
        <w:rPr>
          <w:rFonts w:ascii="Calibri" w:hAnsi="Calibri"/>
          <w:sz w:val="20"/>
        </w:rPr>
        <w:fldChar w:fldCharType="begin"/>
      </w:r>
      <w:r w:rsidRPr="0087435D">
        <w:rPr>
          <w:rFonts w:ascii="Calibri" w:hAnsi="Calibri"/>
          <w:sz w:val="20"/>
          <w:lang w:val="pt-BR"/>
        </w:rPr>
        <w:instrText>PAGEREF meta_3ª_VICE___PRESIDÊNCIA_2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139 - Implementar ao menos 5 (cinco) projetos em Justiça Restaurativa no ano de 2025.</w:t>
      </w:r>
      <w:r w:rsidRPr="0087435D">
        <w:rPr>
          <w:lang w:val="pt-BR"/>
        </w:rPr>
        <w:tab/>
      </w:r>
      <w:r>
        <w:rPr>
          <w:rFonts w:ascii="Calibri" w:hAnsi="Calibri"/>
          <w:sz w:val="20"/>
        </w:rPr>
        <w:fldChar w:fldCharType="begin"/>
      </w:r>
      <w:r w:rsidRPr="0087435D">
        <w:rPr>
          <w:rFonts w:ascii="Calibri" w:hAnsi="Calibri"/>
          <w:sz w:val="20"/>
          <w:lang w:val="pt-BR"/>
        </w:rPr>
        <w:instrText>PAGEREF meta_3ª_VICE___PRESIDÊNCIA_3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47</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140 - Realizar ao menos 25 (vinte e cinco) círculos de construção de paz utilizando as técnicas da justiça restaurativa, no ano de 2025.</w:t>
      </w:r>
      <w:r w:rsidRPr="0087435D">
        <w:rPr>
          <w:lang w:val="pt-BR"/>
        </w:rPr>
        <w:tab/>
      </w:r>
      <w:r>
        <w:rPr>
          <w:rFonts w:ascii="Calibri" w:hAnsi="Calibri"/>
          <w:sz w:val="20"/>
        </w:rPr>
        <w:fldChar w:fldCharType="begin"/>
      </w:r>
      <w:r w:rsidRPr="0087435D">
        <w:rPr>
          <w:rFonts w:ascii="Calibri" w:hAnsi="Calibri"/>
          <w:sz w:val="20"/>
          <w:lang w:val="pt-BR"/>
        </w:rPr>
        <w:instrText>PAGEREF meta_3ª_VICE___PRESIDÊNCIA_4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48</w:t>
      </w:r>
      <w:r>
        <w:rPr>
          <w:rFonts w:ascii="Calibri" w:hAnsi="Calibri"/>
          <w:sz w:val="20"/>
        </w:rPr>
        <w:fldChar w:fldCharType="end"/>
      </w:r>
    </w:p>
    <w:p w:rsidR="00760DE1" w:rsidRPr="0087435D" w:rsidRDefault="0087435D">
      <w:pPr>
        <w:spacing w:before="120" w:after="60"/>
        <w:rPr>
          <w:lang w:val="pt-BR"/>
        </w:rPr>
      </w:pPr>
      <w:r w:rsidRPr="0087435D">
        <w:rPr>
          <w:rFonts w:ascii="Calibri" w:hAnsi="Calibri"/>
          <w:b/>
          <w:sz w:val="20"/>
          <w:lang w:val="pt-BR"/>
        </w:rPr>
        <w:t>CORREGEDORIA</w:t>
      </w:r>
    </w:p>
    <w:p w:rsidR="00760DE1" w:rsidRPr="0087435D" w:rsidRDefault="0087435D">
      <w:pPr>
        <w:tabs>
          <w:tab w:val="right" w:leader="dot" w:pos="9072"/>
        </w:tabs>
        <w:spacing w:after="0"/>
        <w:ind w:left="113"/>
        <w:rPr>
          <w:lang w:val="pt-BR"/>
        </w:rPr>
      </w:pPr>
      <w:r w:rsidRPr="0087435D">
        <w:rPr>
          <w:rFonts w:ascii="Calibri" w:hAnsi="Calibri"/>
          <w:sz w:val="20"/>
          <w:lang w:val="pt-BR"/>
        </w:rPr>
        <w:t>TJMG 10 - Reduzir, até 31/12/2025, em 12% (trinta por cento) os mandados judiciais em atraso na 1ª instância, há mais de 30 (trinta) dias.</w:t>
      </w:r>
      <w:r w:rsidRPr="0087435D">
        <w:rPr>
          <w:lang w:val="pt-BR"/>
        </w:rPr>
        <w:tab/>
      </w:r>
      <w:r>
        <w:rPr>
          <w:rFonts w:ascii="Calibri" w:hAnsi="Calibri"/>
          <w:sz w:val="20"/>
        </w:rPr>
        <w:fldChar w:fldCharType="begin"/>
      </w:r>
      <w:r w:rsidRPr="0087435D">
        <w:rPr>
          <w:rFonts w:ascii="Calibri" w:hAnsi="Calibri"/>
          <w:sz w:val="20"/>
          <w:lang w:val="pt-BR"/>
        </w:rPr>
        <w:instrText>PAGEREF meta_CORREGEDORIA_0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49</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141 - Virtualizar, em 2025, o acervo físico de inquéritos policiais em 100% (cem por cento) das comarcas do Estado de Minas Gerais.</w:t>
      </w:r>
      <w:r w:rsidRPr="0087435D">
        <w:rPr>
          <w:lang w:val="pt-BR"/>
        </w:rPr>
        <w:tab/>
      </w:r>
      <w:r>
        <w:rPr>
          <w:rFonts w:ascii="Calibri" w:hAnsi="Calibri"/>
          <w:sz w:val="20"/>
        </w:rPr>
        <w:fldChar w:fldCharType="begin"/>
      </w:r>
      <w:r w:rsidRPr="0087435D">
        <w:rPr>
          <w:rFonts w:ascii="Calibri" w:hAnsi="Calibri"/>
          <w:sz w:val="20"/>
          <w:lang w:val="pt-BR"/>
        </w:rPr>
        <w:instrText>PAGEREF meta_CORREGEDORIA_1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50</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142 - Expandir o PJE para a classe inquéritos policiais em 100% (cem por cento) das comarcas em 2025.</w:t>
      </w:r>
      <w:r w:rsidRPr="0087435D">
        <w:rPr>
          <w:lang w:val="pt-BR"/>
        </w:rPr>
        <w:tab/>
      </w:r>
      <w:r>
        <w:rPr>
          <w:rFonts w:ascii="Calibri" w:hAnsi="Calibri"/>
          <w:sz w:val="20"/>
        </w:rPr>
        <w:fldChar w:fldCharType="begin"/>
      </w:r>
      <w:r w:rsidRPr="0087435D">
        <w:rPr>
          <w:rFonts w:ascii="Calibri" w:hAnsi="Calibri"/>
          <w:sz w:val="20"/>
          <w:lang w:val="pt-BR"/>
        </w:rPr>
        <w:instrText>PAGEREF meta_CORREGEDORIA_2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146 - Reduzir, até 31/12/2025, em 10% (dez por cento) o estoque dos processos conclusos para Sentença, Decisão e Despacho há mais de 120 (cento e vinte) dias na Justiça Comum e no JESP.</w:t>
      </w:r>
      <w:r w:rsidRPr="0087435D">
        <w:rPr>
          <w:lang w:val="pt-BR"/>
        </w:rPr>
        <w:tab/>
      </w:r>
      <w:r>
        <w:rPr>
          <w:rFonts w:ascii="Calibri" w:hAnsi="Calibri"/>
          <w:sz w:val="20"/>
        </w:rPr>
        <w:fldChar w:fldCharType="begin"/>
      </w:r>
      <w:r w:rsidRPr="0087435D">
        <w:rPr>
          <w:rFonts w:ascii="Calibri" w:hAnsi="Calibri"/>
          <w:sz w:val="20"/>
          <w:lang w:val="pt-BR"/>
        </w:rPr>
        <w:instrText>PAGEREF meta_CORREGEDORIA_3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51</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147 - Reduzir, até 31/12/2025, em 30% (dez por cento) o estoque dos processos paralisados sem motivo legal, há mais de 120 (cento e vinte) dias, em secretaria na Justiça Comum e no JESP (excluídos os feitos do SEEU).</w:t>
      </w:r>
      <w:r w:rsidRPr="0087435D">
        <w:rPr>
          <w:lang w:val="pt-BR"/>
        </w:rPr>
        <w:tab/>
      </w:r>
      <w:r>
        <w:rPr>
          <w:rFonts w:ascii="Calibri" w:hAnsi="Calibri"/>
          <w:sz w:val="20"/>
        </w:rPr>
        <w:fldChar w:fldCharType="begin"/>
      </w:r>
      <w:r w:rsidRPr="0087435D">
        <w:rPr>
          <w:rFonts w:ascii="Calibri" w:hAnsi="Calibri"/>
          <w:sz w:val="20"/>
          <w:lang w:val="pt-BR"/>
        </w:rPr>
        <w:instrText>PAGEREF meta_CORREGEDORIA_4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52</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148 - Reduzir, até 31/12/2025, em 4% (quatro por cento), o tempo médio de tramitação, em dias, dos feitos do acervo gerenciável, a partir da data de distribuição até a data da baixa, na Justiça Comum e no JESP</w:t>
      </w:r>
      <w:r w:rsidRPr="0087435D">
        <w:rPr>
          <w:lang w:val="pt-BR"/>
        </w:rPr>
        <w:tab/>
      </w:r>
      <w:r>
        <w:rPr>
          <w:rFonts w:ascii="Calibri" w:hAnsi="Calibri"/>
          <w:sz w:val="20"/>
        </w:rPr>
        <w:fldChar w:fldCharType="begin"/>
      </w:r>
      <w:r w:rsidRPr="0087435D">
        <w:rPr>
          <w:rFonts w:ascii="Calibri" w:hAnsi="Calibri"/>
          <w:sz w:val="20"/>
          <w:lang w:val="pt-BR"/>
        </w:rPr>
        <w:instrText>PAGEREF meta_CORREGEDORIA_5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53</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149 - Reduzir, até 31/12/2025, 50% (cinquenta por cento) dos feitos em que possuam réus falecidos.</w:t>
      </w:r>
      <w:r w:rsidRPr="0087435D">
        <w:rPr>
          <w:lang w:val="pt-BR"/>
        </w:rPr>
        <w:tab/>
      </w:r>
      <w:r>
        <w:rPr>
          <w:rFonts w:ascii="Calibri" w:hAnsi="Calibri"/>
          <w:sz w:val="20"/>
        </w:rPr>
        <w:fldChar w:fldCharType="begin"/>
      </w:r>
      <w:r w:rsidRPr="0087435D">
        <w:rPr>
          <w:rFonts w:ascii="Calibri" w:hAnsi="Calibri"/>
          <w:sz w:val="20"/>
          <w:lang w:val="pt-BR"/>
        </w:rPr>
        <w:instrText>PAGEREF meta_CORREGEDORIA_6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54</w:t>
      </w:r>
      <w:r>
        <w:rPr>
          <w:rFonts w:ascii="Calibri" w:hAnsi="Calibri"/>
          <w:sz w:val="20"/>
        </w:rPr>
        <w:fldChar w:fldCharType="end"/>
      </w:r>
    </w:p>
    <w:p w:rsidR="00760DE1" w:rsidRPr="0087435D" w:rsidRDefault="0087435D">
      <w:pPr>
        <w:tabs>
          <w:tab w:val="right" w:leader="dot" w:pos="9072"/>
        </w:tabs>
        <w:spacing w:after="0"/>
        <w:ind w:left="113"/>
        <w:rPr>
          <w:lang w:val="pt-BR"/>
        </w:rPr>
      </w:pPr>
      <w:r w:rsidRPr="0087435D">
        <w:rPr>
          <w:rFonts w:ascii="Calibri" w:hAnsi="Calibri"/>
          <w:sz w:val="20"/>
          <w:lang w:val="pt-BR"/>
        </w:rPr>
        <w:t>TJMG 40 - Implantar o Desdobramento do Planejamento Estratégico - DPE em 30 (trinta) Unidades Judiciárias de 1º grau até 31/12/2025.</w:t>
      </w:r>
      <w:r w:rsidRPr="0087435D">
        <w:rPr>
          <w:lang w:val="pt-BR"/>
        </w:rPr>
        <w:tab/>
      </w:r>
      <w:r>
        <w:rPr>
          <w:rFonts w:ascii="Calibri" w:hAnsi="Calibri"/>
          <w:sz w:val="20"/>
        </w:rPr>
        <w:fldChar w:fldCharType="begin"/>
      </w:r>
      <w:r w:rsidRPr="0087435D">
        <w:rPr>
          <w:rFonts w:ascii="Calibri" w:hAnsi="Calibri"/>
          <w:sz w:val="20"/>
          <w:lang w:val="pt-BR"/>
        </w:rPr>
        <w:instrText>PAGEREF meta_CORREGEDORIA_7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55</w:t>
      </w:r>
      <w:r>
        <w:rPr>
          <w:rFonts w:ascii="Calibri" w:hAnsi="Calibri"/>
          <w:sz w:val="20"/>
        </w:rPr>
        <w:fldChar w:fldCharType="end"/>
      </w:r>
    </w:p>
    <w:p w:rsidR="00760DE1" w:rsidRPr="0087435D" w:rsidRDefault="0087435D" w:rsidP="00B8051E">
      <w:pPr>
        <w:tabs>
          <w:tab w:val="right" w:leader="dot" w:pos="9072"/>
        </w:tabs>
        <w:spacing w:after="0"/>
        <w:ind w:left="113"/>
        <w:rPr>
          <w:lang w:val="pt-BR"/>
        </w:rPr>
        <w:sectPr w:rsidR="00760DE1" w:rsidRPr="0087435D">
          <w:headerReference w:type="default" r:id="rId14"/>
          <w:footerReference w:type="default" r:id="rId15"/>
          <w:pgSz w:w="11906" w:h="16838"/>
          <w:pgMar w:top="1134" w:right="1417" w:bottom="850" w:left="1417" w:header="283" w:footer="720" w:gutter="0"/>
          <w:cols w:space="720"/>
          <w:docGrid w:linePitch="360"/>
        </w:sectPr>
      </w:pPr>
      <w:r w:rsidRPr="0087435D">
        <w:rPr>
          <w:rFonts w:ascii="Calibri" w:hAnsi="Calibri"/>
          <w:sz w:val="20"/>
          <w:lang w:val="pt-BR"/>
        </w:rPr>
        <w:t>TJMG 129 - Executar 100% (cem por cento) das entregas previstas na iniciativa Painel de Gestão Automatizada de Receitas Judiciais até dezembro de 2025.</w:t>
      </w:r>
      <w:r w:rsidRPr="0087435D">
        <w:rPr>
          <w:lang w:val="pt-BR"/>
        </w:rPr>
        <w:tab/>
      </w:r>
      <w:r>
        <w:rPr>
          <w:rFonts w:ascii="Calibri" w:hAnsi="Calibri"/>
          <w:sz w:val="20"/>
        </w:rPr>
        <w:fldChar w:fldCharType="begin"/>
      </w:r>
      <w:r w:rsidRPr="0087435D">
        <w:rPr>
          <w:rFonts w:ascii="Calibri" w:hAnsi="Calibri"/>
          <w:sz w:val="20"/>
          <w:lang w:val="pt-BR"/>
        </w:rPr>
        <w:instrText>PAGEREF meta_CORREGEDORIA_8 \h</w:instrText>
      </w:r>
      <w:r>
        <w:rPr>
          <w:rFonts w:ascii="Calibri" w:hAnsi="Calibri"/>
          <w:sz w:val="20"/>
        </w:rPr>
      </w:r>
      <w:r w:rsidR="002904BA">
        <w:rPr>
          <w:rFonts w:ascii="Calibri" w:hAnsi="Calibri"/>
          <w:sz w:val="20"/>
        </w:rPr>
        <w:fldChar w:fldCharType="separate"/>
      </w:r>
      <w:r w:rsidR="007174EC">
        <w:rPr>
          <w:rFonts w:ascii="Calibri" w:hAnsi="Calibri"/>
          <w:noProof/>
          <w:sz w:val="20"/>
          <w:lang w:val="pt-BR"/>
        </w:rPr>
        <w:t>56</w:t>
      </w:r>
      <w:r>
        <w:rPr>
          <w:rFonts w:ascii="Calibri" w:hAnsi="Calibri"/>
          <w:sz w:val="20"/>
        </w:rPr>
        <w:fldChar w:fldCharType="end"/>
      </w:r>
    </w:p>
    <w:p w:rsidR="0087435D" w:rsidRPr="001F63B9" w:rsidRDefault="0087435D" w:rsidP="0087435D">
      <w:pPr>
        <w:pStyle w:val="PargrafodaLista"/>
        <w:numPr>
          <w:ilvl w:val="0"/>
          <w:numId w:val="10"/>
        </w:numPr>
        <w:spacing w:after="0" w:line="240" w:lineRule="auto"/>
        <w:jc w:val="both"/>
        <w:outlineLvl w:val="0"/>
        <w:rPr>
          <w:rFonts w:asciiTheme="majorHAnsi" w:eastAsia="Times New Roman" w:hAnsiTheme="majorHAnsi" w:cstheme="majorHAnsi"/>
          <w:b/>
          <w:bCs/>
          <w:color w:val="E36C0A" w:themeColor="accent6" w:themeShade="BF"/>
          <w:sz w:val="28"/>
          <w:szCs w:val="28"/>
        </w:rPr>
      </w:pPr>
      <w:bookmarkStart w:id="1" w:name="_Toc210312223"/>
      <w:bookmarkStart w:id="2" w:name="_Toc210662690"/>
      <w:bookmarkStart w:id="3" w:name="_Hlk223081590"/>
      <w:bookmarkStart w:id="4" w:name="_Toc223442903"/>
      <w:r w:rsidRPr="008369C5">
        <w:rPr>
          <w:noProof/>
          <w:sz w:val="24"/>
          <w:szCs w:val="24"/>
        </w:rPr>
        <w:lastRenderedPageBreak/>
        <w:drawing>
          <wp:anchor distT="114300" distB="114300" distL="114300" distR="114300" simplePos="0" relativeHeight="251546112" behindDoc="0" locked="0" layoutInCell="1" hidden="0" allowOverlap="1" wp14:anchorId="193092B5" wp14:editId="7778F341">
            <wp:simplePos x="0" y="0"/>
            <wp:positionH relativeFrom="page">
              <wp:posOffset>0</wp:posOffset>
            </wp:positionH>
            <wp:positionV relativeFrom="page">
              <wp:posOffset>10776815</wp:posOffset>
            </wp:positionV>
            <wp:extent cx="7577138" cy="1070682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8369C5">
        <w:rPr>
          <w:noProof/>
          <w:sz w:val="24"/>
          <w:szCs w:val="24"/>
        </w:rPr>
        <w:drawing>
          <wp:anchor distT="114300" distB="114300" distL="114300" distR="114300" simplePos="0" relativeHeight="251549184" behindDoc="0" locked="0" layoutInCell="1" hidden="0" allowOverlap="1" wp14:anchorId="76190C15" wp14:editId="39F16B0E">
            <wp:simplePos x="0" y="0"/>
            <wp:positionH relativeFrom="page">
              <wp:posOffset>0</wp:posOffset>
            </wp:positionH>
            <wp:positionV relativeFrom="page">
              <wp:posOffset>10776815</wp:posOffset>
            </wp:positionV>
            <wp:extent cx="7577138" cy="1070682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1F63B9">
        <w:rPr>
          <w:rFonts w:asciiTheme="majorHAnsi" w:eastAsia="Times New Roman" w:hAnsiTheme="majorHAnsi" w:cstheme="majorHAnsi"/>
          <w:b/>
          <w:bCs/>
          <w:color w:val="E36C0A" w:themeColor="accent6" w:themeShade="BF"/>
          <w:sz w:val="28"/>
          <w:szCs w:val="28"/>
        </w:rPr>
        <w:t>INTRODUÇÃO</w:t>
      </w:r>
      <w:bookmarkEnd w:id="1"/>
      <w:bookmarkEnd w:id="2"/>
      <w:bookmarkEnd w:id="4"/>
    </w:p>
    <w:p w:rsidR="0087435D" w:rsidRDefault="0087435D" w:rsidP="0087435D">
      <w:pPr>
        <w:spacing w:line="240" w:lineRule="auto"/>
        <w:ind w:left="57"/>
        <w:jc w:val="both"/>
        <w:rPr>
          <w:rFonts w:asciiTheme="majorHAnsi" w:eastAsia="Times New Roman" w:hAnsiTheme="majorHAnsi" w:cstheme="majorHAnsi"/>
          <w:sz w:val="24"/>
          <w:szCs w:val="24"/>
        </w:rPr>
      </w:pPr>
    </w:p>
    <w:p w:rsidR="0087435D" w:rsidRPr="0087435D" w:rsidRDefault="0087435D" w:rsidP="0087435D">
      <w:pPr>
        <w:spacing w:before="120" w:line="360" w:lineRule="auto"/>
        <w:ind w:firstLine="720"/>
        <w:jc w:val="both"/>
        <w:rPr>
          <w:rFonts w:asciiTheme="majorHAnsi" w:eastAsia="Times New Roman" w:hAnsiTheme="majorHAnsi" w:cstheme="majorHAnsi"/>
          <w:sz w:val="24"/>
          <w:szCs w:val="24"/>
          <w:lang w:val="pt-BR"/>
        </w:rPr>
      </w:pPr>
      <w:r w:rsidRPr="0087435D">
        <w:rPr>
          <w:rFonts w:asciiTheme="majorHAnsi" w:hAnsiTheme="majorHAnsi" w:cstheme="majorHAnsi"/>
          <w:sz w:val="24"/>
          <w:szCs w:val="24"/>
          <w:lang w:val="pt-BR"/>
        </w:rPr>
        <w:t xml:space="preserve">Em 17 de outubro de 2025, o Comitê de Governança e Gestão Estratégica aprovou </w:t>
      </w:r>
      <w:r w:rsidRPr="0087435D">
        <w:rPr>
          <w:rFonts w:asciiTheme="majorHAnsi" w:hAnsiTheme="majorHAnsi" w:cstheme="majorHAnsi"/>
          <w:b/>
          <w:bCs/>
          <w:sz w:val="24"/>
          <w:szCs w:val="24"/>
          <w:lang w:val="pt-BR"/>
        </w:rPr>
        <w:t>32 iniciativas</w:t>
      </w:r>
      <w:r w:rsidRPr="0087435D">
        <w:rPr>
          <w:rFonts w:asciiTheme="majorHAnsi" w:hAnsiTheme="majorHAnsi" w:cstheme="majorHAnsi"/>
          <w:sz w:val="24"/>
          <w:szCs w:val="24"/>
          <w:lang w:val="pt-BR"/>
        </w:rPr>
        <w:t xml:space="preserve"> e </w:t>
      </w:r>
      <w:r w:rsidRPr="0087435D">
        <w:rPr>
          <w:rFonts w:asciiTheme="majorHAnsi" w:hAnsiTheme="majorHAnsi" w:cstheme="majorHAnsi"/>
          <w:b/>
          <w:bCs/>
          <w:sz w:val="24"/>
          <w:szCs w:val="24"/>
          <w:lang w:val="pt-BR"/>
        </w:rPr>
        <w:t>64 metas correlatas</w:t>
      </w:r>
      <w:r w:rsidRPr="0087435D">
        <w:rPr>
          <w:rFonts w:asciiTheme="majorHAnsi" w:hAnsiTheme="majorHAnsi" w:cstheme="majorHAnsi"/>
          <w:sz w:val="24"/>
          <w:szCs w:val="24"/>
          <w:lang w:val="pt-BR"/>
        </w:rPr>
        <w:t xml:space="preserve">, </w:t>
      </w:r>
      <w:r w:rsidRPr="0087435D">
        <w:rPr>
          <w:rFonts w:asciiTheme="majorHAnsi" w:hAnsiTheme="majorHAnsi" w:cstheme="majorHAnsi"/>
          <w:b/>
          <w:bCs/>
          <w:sz w:val="24"/>
          <w:szCs w:val="24"/>
          <w:lang w:val="pt-BR"/>
        </w:rPr>
        <w:t xml:space="preserve">elementos essenciais do Painel Estratégico e do Quadro de Iniciativas </w:t>
      </w:r>
      <w:r w:rsidRPr="0087435D">
        <w:rPr>
          <w:rFonts w:asciiTheme="majorHAnsi" w:eastAsia="Times New Roman" w:hAnsiTheme="majorHAnsi" w:cstheme="majorHAnsi"/>
          <w:sz w:val="24"/>
          <w:szCs w:val="24"/>
          <w:lang w:val="pt-BR"/>
        </w:rPr>
        <w:t>referentes ao ano de 2025</w:t>
      </w:r>
      <w:r w:rsidRPr="0087435D">
        <w:rPr>
          <w:rFonts w:asciiTheme="majorHAnsi" w:hAnsiTheme="majorHAnsi" w:cstheme="majorHAnsi"/>
          <w:sz w:val="24"/>
          <w:szCs w:val="24"/>
          <w:lang w:val="pt-BR"/>
        </w:rPr>
        <w:t xml:space="preserve">. </w:t>
      </w:r>
      <w:bookmarkStart w:id="5" w:name="_Hlk210392593"/>
      <w:r w:rsidRPr="0087435D">
        <w:rPr>
          <w:rFonts w:asciiTheme="majorHAnsi" w:eastAsia="Times New Roman" w:hAnsiTheme="majorHAnsi" w:cstheme="majorHAnsi"/>
          <w:sz w:val="24"/>
          <w:szCs w:val="24"/>
          <w:lang w:val="pt-BR"/>
        </w:rPr>
        <w:t xml:space="preserve">Esses documentos integram o Planejamento Estratégico de Gestão Institucional (ciclo 2021-2026) e foram regulamentados pela </w:t>
      </w:r>
      <w:r w:rsidRPr="0087435D">
        <w:rPr>
          <w:rFonts w:asciiTheme="majorHAnsi" w:eastAsia="Times New Roman" w:hAnsiTheme="majorHAnsi" w:cstheme="majorHAnsi"/>
          <w:b/>
          <w:bCs/>
          <w:sz w:val="24"/>
          <w:szCs w:val="24"/>
          <w:lang w:val="pt-BR"/>
        </w:rPr>
        <w:t>Portaria Conjunta nº 1.669/2025</w:t>
      </w:r>
      <w:r w:rsidRPr="0087435D">
        <w:rPr>
          <w:rFonts w:asciiTheme="majorHAnsi" w:eastAsia="Times New Roman" w:hAnsiTheme="majorHAnsi" w:cstheme="majorHAnsi"/>
          <w:sz w:val="24"/>
          <w:szCs w:val="24"/>
          <w:lang w:val="pt-BR"/>
        </w:rPr>
        <w:t>, em observância ao art. 7º da Resolução 952/2020.</w:t>
      </w:r>
      <w:bookmarkEnd w:id="5"/>
    </w:p>
    <w:p w:rsidR="0087435D" w:rsidRPr="0087435D" w:rsidRDefault="0087435D" w:rsidP="0087435D">
      <w:pPr>
        <w:spacing w:before="120" w:line="360" w:lineRule="auto"/>
        <w:ind w:firstLine="720"/>
        <w:jc w:val="both"/>
        <w:rPr>
          <w:rFonts w:asciiTheme="majorHAnsi" w:eastAsia="Times New Roman" w:hAnsiTheme="majorHAnsi" w:cstheme="majorHAnsi"/>
          <w:sz w:val="24"/>
          <w:szCs w:val="24"/>
          <w:lang w:val="pt-BR"/>
        </w:rPr>
      </w:pPr>
      <w:r w:rsidRPr="0087435D">
        <w:rPr>
          <w:rFonts w:asciiTheme="majorHAnsi" w:eastAsia="Times New Roman" w:hAnsiTheme="majorHAnsi" w:cstheme="majorHAnsi"/>
          <w:b/>
          <w:bCs/>
          <w:sz w:val="24"/>
          <w:szCs w:val="24"/>
          <w:lang w:val="pt-BR"/>
        </w:rPr>
        <w:t xml:space="preserve">Desse conjunto de 64 metas, 10 são metas nacionais </w:t>
      </w:r>
      <w:r w:rsidRPr="0087435D">
        <w:rPr>
          <w:rFonts w:asciiTheme="majorHAnsi" w:eastAsia="Times New Roman" w:hAnsiTheme="majorHAnsi" w:cstheme="majorHAnsi"/>
          <w:sz w:val="24"/>
          <w:szCs w:val="24"/>
          <w:lang w:val="pt-BR"/>
        </w:rPr>
        <w:t xml:space="preserve">do Poder Judiciário, estabelecidas pela Rede de Governança Colaborativa, </w:t>
      </w:r>
      <w:r w:rsidRPr="0087435D">
        <w:rPr>
          <w:rFonts w:asciiTheme="majorHAnsi" w:eastAsia="Times New Roman" w:hAnsiTheme="majorHAnsi" w:cstheme="majorHAnsi"/>
          <w:b/>
          <w:bCs/>
          <w:sz w:val="24"/>
          <w:szCs w:val="24"/>
          <w:lang w:val="pt-BR"/>
        </w:rPr>
        <w:t xml:space="preserve">e 54 são metas institucionais, </w:t>
      </w:r>
      <w:r w:rsidRPr="0087435D">
        <w:rPr>
          <w:rFonts w:asciiTheme="majorHAnsi" w:eastAsia="Times New Roman" w:hAnsiTheme="majorHAnsi" w:cstheme="majorHAnsi"/>
          <w:sz w:val="24"/>
          <w:szCs w:val="24"/>
          <w:lang w:val="pt-BR"/>
        </w:rPr>
        <w:t>estabelecidas pelo TJMG.</w:t>
      </w:r>
    </w:p>
    <w:p w:rsidR="0087435D" w:rsidRPr="00827E7F" w:rsidRDefault="0087435D" w:rsidP="0087435D">
      <w:pPr>
        <w:pStyle w:val="textojustificadorecuoprimeiralinha"/>
        <w:spacing w:before="200" w:beforeAutospacing="0" w:after="200" w:afterAutospacing="0" w:line="360" w:lineRule="auto"/>
        <w:ind w:firstLine="720"/>
        <w:jc w:val="both"/>
        <w:rPr>
          <w:rFonts w:asciiTheme="majorHAnsi" w:hAnsiTheme="majorHAnsi" w:cstheme="majorHAnsi"/>
        </w:rPr>
      </w:pPr>
      <w:r w:rsidRPr="00827E7F">
        <w:rPr>
          <w:rFonts w:asciiTheme="majorHAnsi" w:hAnsiTheme="majorHAnsi" w:cstheme="majorHAnsi"/>
        </w:rPr>
        <w:t xml:space="preserve">Após a aprovação, as metas nacionais e institucionais foram monitoradas pela Assessoria Técnica e Jurídica ao Planejamento e à Gestão Institucional – ASPLAG/DEPLAG, com o apoio do Centro de Informação Institucional </w:t>
      </w:r>
      <w:r>
        <w:rPr>
          <w:rFonts w:asciiTheme="majorHAnsi" w:hAnsiTheme="majorHAnsi" w:cstheme="majorHAnsi"/>
        </w:rPr>
        <w:t xml:space="preserve">- </w:t>
      </w:r>
      <w:r w:rsidRPr="00827E7F">
        <w:rPr>
          <w:rFonts w:asciiTheme="majorHAnsi" w:hAnsiTheme="majorHAnsi" w:cstheme="majorHAnsi"/>
        </w:rPr>
        <w:t xml:space="preserve">CEINFO, Centro de Estatística Aplicada à Justiça de Primeira Instância </w:t>
      </w:r>
      <w:r>
        <w:rPr>
          <w:rFonts w:asciiTheme="majorHAnsi" w:hAnsiTheme="majorHAnsi" w:cstheme="majorHAnsi"/>
        </w:rPr>
        <w:t xml:space="preserve">- </w:t>
      </w:r>
      <w:r w:rsidRPr="00827E7F">
        <w:rPr>
          <w:rFonts w:asciiTheme="majorHAnsi" w:hAnsiTheme="majorHAnsi" w:cstheme="majorHAnsi"/>
        </w:rPr>
        <w:t>CEJU</w:t>
      </w:r>
      <w:r>
        <w:rPr>
          <w:rFonts w:asciiTheme="majorHAnsi" w:hAnsiTheme="majorHAnsi" w:cstheme="majorHAnsi"/>
        </w:rPr>
        <w:t>R</w:t>
      </w:r>
      <w:r w:rsidRPr="00827E7F">
        <w:rPr>
          <w:rFonts w:asciiTheme="majorHAnsi" w:hAnsiTheme="majorHAnsi" w:cstheme="majorHAnsi"/>
        </w:rPr>
        <w:t xml:space="preserve"> e Centro de Informações de Resultados da Prestação Jurisdicional na 2ª Instância </w:t>
      </w:r>
      <w:r>
        <w:rPr>
          <w:rFonts w:asciiTheme="majorHAnsi" w:hAnsiTheme="majorHAnsi" w:cstheme="majorHAnsi"/>
        </w:rPr>
        <w:t xml:space="preserve">- </w:t>
      </w:r>
      <w:r w:rsidRPr="00827E7F">
        <w:rPr>
          <w:rFonts w:asciiTheme="majorHAnsi" w:hAnsiTheme="majorHAnsi" w:cstheme="majorHAnsi"/>
        </w:rPr>
        <w:t>CEINJUR, em estrita observância ao artigo 10 da Resolução nº 952/2020. Esse dispositivo legal estabelece que o acompanhamento e a avaliação do Planejamento Estratégico devem ocorrer pela análise de resultados dos indicadores, das metas (nacionais e institucionais) e pelo seguimento dos cronogramas das iniciativas.</w:t>
      </w:r>
    </w:p>
    <w:p w:rsidR="0087435D" w:rsidRPr="0087435D" w:rsidRDefault="0087435D" w:rsidP="0087435D">
      <w:pPr>
        <w:spacing w:before="120" w:line="360" w:lineRule="auto"/>
        <w:ind w:firstLine="720"/>
        <w:jc w:val="both"/>
        <w:rPr>
          <w:rFonts w:asciiTheme="majorHAnsi" w:eastAsia="Times New Roman" w:hAnsiTheme="majorHAnsi" w:cstheme="majorHAnsi"/>
          <w:sz w:val="24"/>
          <w:szCs w:val="24"/>
          <w:lang w:val="pt-BR"/>
        </w:rPr>
      </w:pPr>
      <w:r w:rsidRPr="0087435D">
        <w:rPr>
          <w:rFonts w:asciiTheme="majorHAnsi" w:eastAsia="Times New Roman" w:hAnsiTheme="majorHAnsi" w:cstheme="majorHAnsi"/>
          <w:sz w:val="24"/>
          <w:szCs w:val="24"/>
          <w:lang w:val="pt-BR"/>
        </w:rPr>
        <w:t>Esse monitoramento sistemático é crucial para que a alta administração possa avaliar a eficácia das iniciativas e, se necessário, indicar ações que garantam o alcance das metas e a melhoria dos resultados institucionais.</w:t>
      </w:r>
    </w:p>
    <w:p w:rsidR="0087435D" w:rsidRPr="0087435D" w:rsidRDefault="0087435D" w:rsidP="0087435D">
      <w:pPr>
        <w:spacing w:before="120" w:line="360" w:lineRule="auto"/>
        <w:ind w:firstLine="720"/>
        <w:jc w:val="both"/>
        <w:rPr>
          <w:rFonts w:asciiTheme="majorHAnsi" w:eastAsia="Times New Roman" w:hAnsiTheme="majorHAnsi" w:cstheme="majorHAnsi"/>
          <w:sz w:val="24"/>
          <w:szCs w:val="24"/>
          <w:lang w:val="pt-BR"/>
        </w:rPr>
      </w:pPr>
      <w:r w:rsidRPr="0087435D">
        <w:rPr>
          <w:rFonts w:asciiTheme="majorHAnsi" w:eastAsia="Times New Roman" w:hAnsiTheme="majorHAnsi" w:cstheme="majorHAnsi"/>
          <w:sz w:val="24"/>
          <w:szCs w:val="24"/>
          <w:lang w:val="pt-BR"/>
        </w:rPr>
        <w:t>Caso o monitoramento aponte desvios, caberá aos membros do Comitê de Governança e Gestão Estratégica estabelecer as medidas corretivas necessárias para garantir que a instituição alcance os resultados almejados.</w:t>
      </w:r>
    </w:p>
    <w:p w:rsidR="0087435D" w:rsidRPr="0087435D" w:rsidRDefault="0087435D" w:rsidP="0087435D">
      <w:pPr>
        <w:spacing w:before="120" w:line="360" w:lineRule="auto"/>
        <w:ind w:firstLine="720"/>
        <w:jc w:val="both"/>
        <w:rPr>
          <w:rFonts w:asciiTheme="majorHAnsi" w:eastAsia="Times New Roman" w:hAnsiTheme="majorHAnsi" w:cstheme="majorHAnsi"/>
          <w:sz w:val="24"/>
          <w:szCs w:val="24"/>
          <w:lang w:val="pt-BR"/>
        </w:rPr>
      </w:pPr>
      <w:r w:rsidRPr="0087435D">
        <w:rPr>
          <w:rFonts w:asciiTheme="majorHAnsi" w:eastAsia="Times New Roman" w:hAnsiTheme="majorHAnsi" w:cstheme="majorHAnsi"/>
          <w:sz w:val="24"/>
          <w:szCs w:val="24"/>
          <w:lang w:val="pt-BR"/>
        </w:rPr>
        <w:t xml:space="preserve">Em linha com essa necessidade de avaliação, este relatório apresenta o desempenho geral da instituição com foco especial nos resultados dos indicadores e metas estabelecidos para o ano de 2025. </w:t>
      </w:r>
    </w:p>
    <w:p w:rsidR="0087435D" w:rsidRPr="0087435D" w:rsidRDefault="0087435D" w:rsidP="0087435D">
      <w:pPr>
        <w:spacing w:before="120" w:line="360" w:lineRule="auto"/>
        <w:ind w:firstLine="720"/>
        <w:jc w:val="right"/>
        <w:rPr>
          <w:rFonts w:asciiTheme="majorHAnsi" w:eastAsia="Times New Roman" w:hAnsiTheme="majorHAnsi" w:cstheme="majorHAnsi"/>
          <w:sz w:val="24"/>
          <w:szCs w:val="24"/>
          <w:lang w:val="pt-BR"/>
        </w:rPr>
      </w:pPr>
    </w:p>
    <w:p w:rsidR="0087435D" w:rsidRPr="0087435D" w:rsidRDefault="0087435D" w:rsidP="0087435D">
      <w:pPr>
        <w:spacing w:before="120" w:line="360" w:lineRule="auto"/>
        <w:ind w:firstLine="720"/>
        <w:jc w:val="right"/>
        <w:rPr>
          <w:rFonts w:asciiTheme="majorHAnsi" w:hAnsiTheme="majorHAnsi" w:cstheme="majorHAnsi"/>
          <w:bCs/>
          <w:strike/>
          <w:sz w:val="24"/>
          <w:szCs w:val="24"/>
          <w:lang w:val="pt-BR"/>
        </w:rPr>
      </w:pPr>
      <w:r w:rsidRPr="0087435D">
        <w:rPr>
          <w:rFonts w:asciiTheme="majorHAnsi" w:eastAsia="Times New Roman" w:hAnsiTheme="majorHAnsi" w:cstheme="majorHAnsi"/>
          <w:sz w:val="24"/>
          <w:szCs w:val="24"/>
          <w:lang w:val="pt-BR"/>
        </w:rPr>
        <w:t>À consideração de Vossas Excelências e Vossas Senhorias.</w:t>
      </w:r>
    </w:p>
    <w:p w:rsidR="0087435D" w:rsidRDefault="0087435D" w:rsidP="0087435D">
      <w:pPr>
        <w:pStyle w:val="PargrafodaLista"/>
        <w:numPr>
          <w:ilvl w:val="0"/>
          <w:numId w:val="10"/>
        </w:numPr>
        <w:spacing w:after="0" w:line="240" w:lineRule="auto"/>
        <w:jc w:val="both"/>
        <w:outlineLvl w:val="0"/>
        <w:rPr>
          <w:rFonts w:asciiTheme="majorHAnsi" w:eastAsia="Times New Roman" w:hAnsiTheme="majorHAnsi" w:cstheme="majorHAnsi"/>
          <w:b/>
          <w:bCs/>
          <w:color w:val="E36C0A" w:themeColor="accent6" w:themeShade="BF"/>
          <w:sz w:val="28"/>
          <w:szCs w:val="28"/>
        </w:rPr>
      </w:pPr>
      <w:bookmarkStart w:id="6" w:name="_Toc210312224"/>
      <w:bookmarkStart w:id="7" w:name="_Toc210662691"/>
      <w:bookmarkStart w:id="8" w:name="_Toc223442904"/>
      <w:r w:rsidRPr="008369C5">
        <w:rPr>
          <w:noProof/>
          <w:sz w:val="24"/>
          <w:szCs w:val="24"/>
        </w:rPr>
        <w:lastRenderedPageBreak/>
        <w:drawing>
          <wp:anchor distT="114300" distB="114300" distL="114300" distR="114300" simplePos="0" relativeHeight="251553280" behindDoc="0" locked="0" layoutInCell="1" hidden="0" allowOverlap="1" wp14:anchorId="7DA4C170" wp14:editId="349DDF39">
            <wp:simplePos x="0" y="0"/>
            <wp:positionH relativeFrom="page">
              <wp:posOffset>0</wp:posOffset>
            </wp:positionH>
            <wp:positionV relativeFrom="page">
              <wp:posOffset>10776815</wp:posOffset>
            </wp:positionV>
            <wp:extent cx="7577138" cy="1070682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8369C5">
        <w:rPr>
          <w:noProof/>
          <w:sz w:val="24"/>
          <w:szCs w:val="24"/>
        </w:rPr>
        <w:drawing>
          <wp:anchor distT="114300" distB="114300" distL="114300" distR="114300" simplePos="0" relativeHeight="251557376" behindDoc="0" locked="0" layoutInCell="1" hidden="0" allowOverlap="1" wp14:anchorId="27895929" wp14:editId="5B2E505C">
            <wp:simplePos x="0" y="0"/>
            <wp:positionH relativeFrom="page">
              <wp:posOffset>0</wp:posOffset>
            </wp:positionH>
            <wp:positionV relativeFrom="page">
              <wp:posOffset>10776815</wp:posOffset>
            </wp:positionV>
            <wp:extent cx="7577138" cy="10706825"/>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Pr>
          <w:rFonts w:asciiTheme="majorHAnsi" w:eastAsia="Times New Roman" w:hAnsiTheme="majorHAnsi" w:cstheme="majorHAnsi"/>
          <w:b/>
          <w:bCs/>
          <w:color w:val="E36C0A" w:themeColor="accent6" w:themeShade="BF"/>
          <w:sz w:val="28"/>
          <w:szCs w:val="28"/>
        </w:rPr>
        <w:t>OBJETIVO DO RELATÓRIO</w:t>
      </w:r>
      <w:bookmarkEnd w:id="6"/>
      <w:bookmarkEnd w:id="7"/>
      <w:bookmarkEnd w:id="8"/>
    </w:p>
    <w:p w:rsidR="0087435D" w:rsidRDefault="0087435D" w:rsidP="0087435D">
      <w:pPr>
        <w:pStyle w:val="PargrafodaLista"/>
        <w:spacing w:line="240" w:lineRule="auto"/>
        <w:ind w:left="417"/>
        <w:jc w:val="both"/>
        <w:rPr>
          <w:rFonts w:asciiTheme="majorHAnsi" w:eastAsia="Times New Roman" w:hAnsiTheme="majorHAnsi" w:cstheme="majorHAnsi"/>
          <w:b/>
          <w:bCs/>
          <w:color w:val="E36C0A" w:themeColor="accent6" w:themeShade="BF"/>
          <w:sz w:val="28"/>
          <w:szCs w:val="28"/>
        </w:rPr>
      </w:pPr>
    </w:p>
    <w:p w:rsidR="0087435D" w:rsidRPr="0087435D" w:rsidRDefault="0087435D" w:rsidP="0087435D">
      <w:pPr>
        <w:pStyle w:val="PargrafodaLista"/>
        <w:spacing w:before="200" w:line="360" w:lineRule="auto"/>
        <w:ind w:left="0" w:firstLine="720"/>
        <w:jc w:val="both"/>
        <w:rPr>
          <w:rFonts w:asciiTheme="majorHAnsi" w:hAnsiTheme="majorHAnsi" w:cstheme="majorHAnsi"/>
          <w:sz w:val="24"/>
          <w:szCs w:val="24"/>
          <w:lang w:val="pt-BR"/>
        </w:rPr>
      </w:pPr>
      <w:r w:rsidRPr="0087435D">
        <w:rPr>
          <w:rFonts w:asciiTheme="majorHAnsi" w:hAnsiTheme="majorHAnsi" w:cstheme="majorHAnsi"/>
          <w:bCs/>
          <w:sz w:val="24"/>
          <w:lang w:val="pt-BR"/>
        </w:rPr>
        <w:t xml:space="preserve">O objetivo deste relatório é apresentar os resultados das metas nacionais e institucionais estabelecidas para o ano 2025, visando a superação dos </w:t>
      </w:r>
      <w:proofErr w:type="spellStart"/>
      <w:r w:rsidRPr="0087435D">
        <w:rPr>
          <w:rFonts w:asciiTheme="majorHAnsi" w:hAnsiTheme="majorHAnsi" w:cstheme="majorHAnsi"/>
          <w:bCs/>
          <w:sz w:val="24"/>
          <w:lang w:val="pt-BR"/>
        </w:rPr>
        <w:t>macrodesafios</w:t>
      </w:r>
      <w:proofErr w:type="spellEnd"/>
      <w:r w:rsidRPr="0087435D">
        <w:rPr>
          <w:rFonts w:asciiTheme="majorHAnsi" w:hAnsiTheme="majorHAnsi" w:cstheme="majorHAnsi"/>
          <w:bCs/>
          <w:sz w:val="24"/>
          <w:lang w:val="pt-BR"/>
        </w:rPr>
        <w:t xml:space="preserve"> do ciclo 2021 – 2026. Ressalta-se que os resultados apresentados se referem ao monitoramento parcial realizado até setembro de 2025.</w:t>
      </w:r>
    </w:p>
    <w:p w:rsidR="0087435D" w:rsidRPr="0087435D" w:rsidRDefault="0087435D" w:rsidP="0087435D">
      <w:pPr>
        <w:pStyle w:val="PargrafodaLista"/>
        <w:spacing w:line="240" w:lineRule="auto"/>
        <w:ind w:left="417"/>
        <w:jc w:val="both"/>
        <w:rPr>
          <w:rFonts w:asciiTheme="majorHAnsi" w:eastAsia="Times New Roman" w:hAnsiTheme="majorHAnsi" w:cstheme="majorHAnsi"/>
          <w:b/>
          <w:bCs/>
          <w:color w:val="E36C0A" w:themeColor="accent6" w:themeShade="BF"/>
          <w:sz w:val="28"/>
          <w:szCs w:val="28"/>
          <w:lang w:val="pt-BR"/>
        </w:rPr>
      </w:pPr>
    </w:p>
    <w:p w:rsidR="0087435D" w:rsidRPr="0087435D" w:rsidRDefault="0087435D" w:rsidP="0087435D">
      <w:pPr>
        <w:pStyle w:val="PargrafodaLista"/>
        <w:numPr>
          <w:ilvl w:val="0"/>
          <w:numId w:val="10"/>
        </w:numPr>
        <w:spacing w:after="0"/>
        <w:outlineLvl w:val="0"/>
        <w:rPr>
          <w:rFonts w:asciiTheme="majorHAnsi" w:eastAsia="Times New Roman" w:hAnsiTheme="majorHAnsi" w:cstheme="majorHAnsi"/>
          <w:b/>
          <w:bCs/>
          <w:color w:val="E36C0A" w:themeColor="accent6" w:themeShade="BF"/>
          <w:sz w:val="28"/>
          <w:szCs w:val="28"/>
          <w:lang w:val="pt-BR"/>
        </w:rPr>
      </w:pPr>
      <w:bookmarkStart w:id="9" w:name="_Toc210312225"/>
      <w:bookmarkStart w:id="10" w:name="_Toc210662692"/>
      <w:bookmarkStart w:id="11" w:name="_Toc223442905"/>
      <w:r w:rsidRPr="008369C5">
        <w:rPr>
          <w:noProof/>
          <w:sz w:val="24"/>
          <w:szCs w:val="24"/>
        </w:rPr>
        <w:drawing>
          <wp:anchor distT="114300" distB="114300" distL="114300" distR="114300" simplePos="0" relativeHeight="251560448" behindDoc="0" locked="0" layoutInCell="1" hidden="0" allowOverlap="1" wp14:anchorId="1ACDCACA" wp14:editId="63E97A67">
            <wp:simplePos x="0" y="0"/>
            <wp:positionH relativeFrom="page">
              <wp:posOffset>0</wp:posOffset>
            </wp:positionH>
            <wp:positionV relativeFrom="page">
              <wp:posOffset>10776815</wp:posOffset>
            </wp:positionV>
            <wp:extent cx="7577138" cy="107068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8369C5">
        <w:rPr>
          <w:noProof/>
          <w:sz w:val="24"/>
          <w:szCs w:val="24"/>
        </w:rPr>
        <w:drawing>
          <wp:anchor distT="114300" distB="114300" distL="114300" distR="114300" simplePos="0" relativeHeight="251563520" behindDoc="0" locked="0" layoutInCell="1" hidden="0" allowOverlap="1" wp14:anchorId="0F09A527" wp14:editId="00117395">
            <wp:simplePos x="0" y="0"/>
            <wp:positionH relativeFrom="page">
              <wp:posOffset>0</wp:posOffset>
            </wp:positionH>
            <wp:positionV relativeFrom="page">
              <wp:posOffset>10776815</wp:posOffset>
            </wp:positionV>
            <wp:extent cx="7577138" cy="10706825"/>
            <wp:effectExtent l="0" t="0" r="0" b="0"/>
            <wp:wrapNone/>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87435D">
        <w:rPr>
          <w:rFonts w:asciiTheme="majorHAnsi" w:eastAsia="Times New Roman" w:hAnsiTheme="majorHAnsi" w:cstheme="majorHAnsi"/>
          <w:b/>
          <w:bCs/>
          <w:color w:val="E36C0A" w:themeColor="accent6" w:themeShade="BF"/>
          <w:sz w:val="28"/>
          <w:szCs w:val="28"/>
          <w:lang w:val="pt-BR"/>
        </w:rPr>
        <w:t>EVOLUÇÃO DO PAINEL ESTRATÉGICO NO CICLO 2021 - 2026</w:t>
      </w:r>
      <w:bookmarkEnd w:id="9"/>
      <w:bookmarkEnd w:id="10"/>
      <w:bookmarkEnd w:id="11"/>
      <w:r w:rsidRPr="0087435D">
        <w:rPr>
          <w:rFonts w:asciiTheme="majorHAnsi" w:eastAsia="Times New Roman" w:hAnsiTheme="majorHAnsi" w:cstheme="majorHAnsi"/>
          <w:b/>
          <w:bCs/>
          <w:color w:val="E36C0A" w:themeColor="accent6" w:themeShade="BF"/>
          <w:sz w:val="28"/>
          <w:szCs w:val="28"/>
          <w:lang w:val="pt-BR"/>
        </w:rPr>
        <w:t xml:space="preserve"> </w:t>
      </w:r>
    </w:p>
    <w:p w:rsidR="0087435D" w:rsidRPr="0087435D" w:rsidRDefault="0087435D" w:rsidP="0087435D">
      <w:pPr>
        <w:pStyle w:val="PargrafodaLista"/>
        <w:spacing w:line="240" w:lineRule="auto"/>
        <w:ind w:left="417"/>
        <w:jc w:val="both"/>
        <w:rPr>
          <w:rFonts w:asciiTheme="majorHAnsi" w:eastAsia="Times New Roman" w:hAnsiTheme="majorHAnsi" w:cstheme="majorHAnsi"/>
          <w:b/>
          <w:bCs/>
          <w:color w:val="E36C0A" w:themeColor="accent6" w:themeShade="BF"/>
          <w:sz w:val="28"/>
          <w:szCs w:val="28"/>
          <w:lang w:val="pt-BR"/>
        </w:rPr>
      </w:pPr>
    </w:p>
    <w:p w:rsidR="0087435D" w:rsidRPr="007C4051" w:rsidRDefault="0087435D" w:rsidP="0087435D">
      <w:pPr>
        <w:pStyle w:val="Default"/>
        <w:spacing w:line="360" w:lineRule="auto"/>
        <w:ind w:firstLine="720"/>
        <w:jc w:val="both"/>
        <w:rPr>
          <w:rFonts w:asciiTheme="majorHAnsi" w:eastAsia="Times New Roman" w:hAnsiTheme="majorHAnsi" w:cstheme="majorHAnsi"/>
          <w:color w:val="auto"/>
        </w:rPr>
      </w:pPr>
      <w:r w:rsidRPr="007C4051">
        <w:rPr>
          <w:rFonts w:asciiTheme="majorHAnsi" w:eastAsia="Times New Roman" w:hAnsiTheme="majorHAnsi" w:cstheme="majorHAnsi"/>
          <w:color w:val="auto"/>
        </w:rPr>
        <w:t xml:space="preserve">Para 2025, foi definido o </w:t>
      </w:r>
      <w:r>
        <w:rPr>
          <w:rFonts w:asciiTheme="majorHAnsi" w:eastAsia="Times New Roman" w:hAnsiTheme="majorHAnsi" w:cstheme="majorHAnsi"/>
          <w:color w:val="auto"/>
        </w:rPr>
        <w:t>menor</w:t>
      </w:r>
      <w:r w:rsidRPr="007C4051">
        <w:rPr>
          <w:rFonts w:asciiTheme="majorHAnsi" w:eastAsia="Times New Roman" w:hAnsiTheme="majorHAnsi" w:cstheme="majorHAnsi"/>
          <w:color w:val="auto"/>
        </w:rPr>
        <w:t xml:space="preserve"> número de metas do ciclo 2021-2026, para compor o Planejamento Estratégico Institucional. Observa-se uma redução de 66 metas em 2021 para </w:t>
      </w:r>
      <w:r>
        <w:rPr>
          <w:rFonts w:asciiTheme="majorHAnsi" w:eastAsia="Times New Roman" w:hAnsiTheme="majorHAnsi" w:cstheme="majorHAnsi"/>
          <w:color w:val="auto"/>
        </w:rPr>
        <w:t>64</w:t>
      </w:r>
      <w:r w:rsidRPr="007C4051">
        <w:rPr>
          <w:rFonts w:asciiTheme="majorHAnsi" w:eastAsia="Times New Roman" w:hAnsiTheme="majorHAnsi" w:cstheme="majorHAnsi"/>
          <w:color w:val="auto"/>
        </w:rPr>
        <w:t xml:space="preserve"> metas em 2025, representando uma redução de </w:t>
      </w:r>
      <w:r w:rsidRPr="00DC16BD">
        <w:rPr>
          <w:rFonts w:asciiTheme="majorHAnsi" w:eastAsia="Times New Roman" w:hAnsiTheme="majorHAnsi" w:cstheme="majorHAnsi"/>
          <w:color w:val="auto"/>
        </w:rPr>
        <w:t xml:space="preserve">3,03% </w:t>
      </w:r>
      <w:r w:rsidRPr="007C4051">
        <w:rPr>
          <w:rFonts w:asciiTheme="majorHAnsi" w:eastAsia="Times New Roman" w:hAnsiTheme="majorHAnsi" w:cstheme="majorHAnsi"/>
          <w:color w:val="auto"/>
        </w:rPr>
        <w:t>no total de metas estabelecidas entre os anos de 2021 e 2025. A redução do Portfólio Estratégico (metas e iniciativas) entre 2021 e 2025</w:t>
      </w:r>
      <w:r>
        <w:rPr>
          <w:rFonts w:asciiTheme="majorHAnsi" w:eastAsia="Times New Roman" w:hAnsiTheme="majorHAnsi" w:cstheme="majorHAnsi"/>
          <w:color w:val="auto"/>
        </w:rPr>
        <w:t xml:space="preserve"> tem como objetivos imprimir </w:t>
      </w:r>
      <w:r w:rsidRPr="007C4051">
        <w:rPr>
          <w:rFonts w:asciiTheme="majorHAnsi" w:eastAsia="Times New Roman" w:hAnsiTheme="majorHAnsi" w:cstheme="majorHAnsi"/>
          <w:color w:val="auto"/>
        </w:rPr>
        <w:t xml:space="preserve">maior foco </w:t>
      </w:r>
      <w:r>
        <w:rPr>
          <w:rFonts w:asciiTheme="majorHAnsi" w:eastAsia="Times New Roman" w:hAnsiTheme="majorHAnsi" w:cstheme="majorHAnsi"/>
          <w:color w:val="auto"/>
        </w:rPr>
        <w:t>na</w:t>
      </w:r>
      <w:r w:rsidRPr="007C4051">
        <w:rPr>
          <w:rFonts w:asciiTheme="majorHAnsi" w:eastAsia="Times New Roman" w:hAnsiTheme="majorHAnsi" w:cstheme="majorHAnsi"/>
          <w:color w:val="auto"/>
        </w:rPr>
        <w:t xml:space="preserve"> atuação do TJMG e </w:t>
      </w:r>
      <w:r>
        <w:rPr>
          <w:rFonts w:asciiTheme="majorHAnsi" w:eastAsia="Times New Roman" w:hAnsiTheme="majorHAnsi" w:cstheme="majorHAnsi"/>
          <w:color w:val="auto"/>
        </w:rPr>
        <w:t xml:space="preserve">potencializar </w:t>
      </w:r>
      <w:r w:rsidRPr="007C4051">
        <w:rPr>
          <w:rFonts w:asciiTheme="majorHAnsi" w:eastAsia="Times New Roman" w:hAnsiTheme="majorHAnsi" w:cstheme="majorHAnsi"/>
          <w:color w:val="auto"/>
        </w:rPr>
        <w:t>o alcance de sua Estratégia Institucional.</w:t>
      </w:r>
    </w:p>
    <w:p w:rsidR="0087435D" w:rsidRPr="0087435D" w:rsidRDefault="0087435D" w:rsidP="0087435D">
      <w:pPr>
        <w:spacing w:line="360" w:lineRule="auto"/>
        <w:ind w:firstLine="720"/>
        <w:jc w:val="both"/>
        <w:rPr>
          <w:rFonts w:asciiTheme="majorHAnsi" w:eastAsia="Times New Roman" w:hAnsiTheme="majorHAnsi" w:cstheme="majorHAnsi"/>
          <w:sz w:val="24"/>
          <w:szCs w:val="24"/>
          <w:lang w:val="pt-BR"/>
        </w:rPr>
      </w:pPr>
      <w:r w:rsidRPr="0087435D">
        <w:rPr>
          <w:rFonts w:asciiTheme="majorHAnsi" w:eastAsia="Times New Roman" w:hAnsiTheme="majorHAnsi" w:cstheme="majorHAnsi"/>
          <w:sz w:val="24"/>
          <w:szCs w:val="24"/>
          <w:lang w:val="pt-BR"/>
        </w:rPr>
        <w:t>Em relação às metas nacionais, observa-se a manutenção no número de metas aprovadas no referido período, permanecendo 10 metas nacionais para 2025.</w:t>
      </w:r>
    </w:p>
    <w:p w:rsidR="0087435D" w:rsidRPr="0087435D" w:rsidRDefault="0087435D" w:rsidP="0087435D">
      <w:pPr>
        <w:pStyle w:val="PargrafodaLista"/>
        <w:spacing w:line="240" w:lineRule="auto"/>
        <w:ind w:left="417"/>
        <w:jc w:val="both"/>
        <w:rPr>
          <w:rFonts w:asciiTheme="majorHAnsi" w:eastAsia="Times New Roman" w:hAnsiTheme="majorHAnsi" w:cstheme="majorHAnsi"/>
          <w:b/>
          <w:bCs/>
          <w:color w:val="E36C0A" w:themeColor="accent6" w:themeShade="BF"/>
          <w:sz w:val="28"/>
          <w:szCs w:val="28"/>
          <w:lang w:val="pt-BR"/>
        </w:rPr>
      </w:pPr>
    </w:p>
    <w:tbl>
      <w:tblPr>
        <w:tblW w:w="10065" w:type="dxa"/>
        <w:tblInd w:w="-431" w:type="dxa"/>
        <w:tblBorders>
          <w:top w:val="single" w:sz="4" w:space="0" w:color="984806" w:themeColor="accent6" w:themeShade="80"/>
          <w:left w:val="single" w:sz="4" w:space="0" w:color="984806" w:themeColor="accent6" w:themeShade="80"/>
          <w:bottom w:val="single" w:sz="4" w:space="0" w:color="984806" w:themeColor="accent6" w:themeShade="80"/>
          <w:right w:val="single" w:sz="4" w:space="0" w:color="984806" w:themeColor="accent6" w:themeShade="80"/>
          <w:insideH w:val="single" w:sz="4" w:space="0" w:color="984806" w:themeColor="accent6" w:themeShade="80"/>
          <w:insideV w:val="single" w:sz="4" w:space="0" w:color="984806" w:themeColor="accent6" w:themeShade="80"/>
        </w:tblBorders>
        <w:tblCellMar>
          <w:left w:w="0" w:type="dxa"/>
          <w:right w:w="0" w:type="dxa"/>
        </w:tblCellMar>
        <w:tblLook w:val="0600" w:firstRow="0" w:lastRow="0" w:firstColumn="0" w:lastColumn="0" w:noHBand="1" w:noVBand="1"/>
      </w:tblPr>
      <w:tblGrid>
        <w:gridCol w:w="2127"/>
        <w:gridCol w:w="1304"/>
        <w:gridCol w:w="1332"/>
        <w:gridCol w:w="1333"/>
        <w:gridCol w:w="1332"/>
        <w:gridCol w:w="1333"/>
        <w:gridCol w:w="1304"/>
      </w:tblGrid>
      <w:tr w:rsidR="0087435D" w:rsidRPr="0087435D" w:rsidTr="0087435D">
        <w:trPr>
          <w:trHeight w:val="567"/>
        </w:trPr>
        <w:tc>
          <w:tcPr>
            <w:tcW w:w="10065" w:type="dxa"/>
            <w:gridSpan w:val="7"/>
            <w:shd w:val="clear" w:color="auto" w:fill="E77619"/>
          </w:tcPr>
          <w:p w:rsidR="0087435D" w:rsidRPr="0087435D" w:rsidRDefault="0087435D" w:rsidP="0087435D">
            <w:pPr>
              <w:spacing w:after="0" w:line="240" w:lineRule="auto"/>
              <w:ind w:left="57"/>
              <w:jc w:val="center"/>
              <w:rPr>
                <w:rFonts w:asciiTheme="majorHAnsi" w:eastAsia="Calibri" w:hAnsiTheme="majorHAnsi" w:cstheme="majorHAnsi"/>
                <w:b/>
                <w:bCs/>
                <w:color w:val="FFFFFF" w:themeColor="background1"/>
                <w:sz w:val="24"/>
                <w:szCs w:val="28"/>
                <w:lang w:val="pt-BR"/>
              </w:rPr>
            </w:pPr>
            <w:r w:rsidRPr="0087435D">
              <w:rPr>
                <w:rFonts w:asciiTheme="majorHAnsi" w:eastAsia="Calibri" w:hAnsiTheme="majorHAnsi" w:cstheme="majorHAnsi"/>
                <w:b/>
                <w:bCs/>
                <w:color w:val="FFFFFF" w:themeColor="background1"/>
                <w:sz w:val="24"/>
                <w:szCs w:val="28"/>
                <w:lang w:val="pt-BR"/>
              </w:rPr>
              <w:t>TOTAL DE METAS APROVADAS PARA COMPOSIÇÃO DO PLANEJAMENTO ESTRATÉGICO INSTITUCIONAL DO TJMG</w:t>
            </w:r>
          </w:p>
        </w:tc>
      </w:tr>
      <w:tr w:rsidR="0087435D" w:rsidRPr="00A06787" w:rsidTr="0087435D">
        <w:trPr>
          <w:trHeight w:val="567"/>
        </w:trPr>
        <w:tc>
          <w:tcPr>
            <w:tcW w:w="2127" w:type="dxa"/>
            <w:shd w:val="clear" w:color="auto" w:fill="FABF8F" w:themeFill="accent6" w:themeFillTint="99"/>
            <w:tcMar>
              <w:top w:w="15" w:type="dxa"/>
              <w:left w:w="15" w:type="dxa"/>
              <w:bottom w:w="0" w:type="dxa"/>
              <w:right w:w="15" w:type="dxa"/>
            </w:tcMar>
            <w:vAlign w:val="center"/>
          </w:tcPr>
          <w:p w:rsidR="0087435D" w:rsidRPr="001C4A29" w:rsidRDefault="0087435D" w:rsidP="0087435D">
            <w:pPr>
              <w:spacing w:after="0" w:line="240" w:lineRule="auto"/>
              <w:ind w:left="57"/>
              <w:jc w:val="center"/>
              <w:rPr>
                <w:rFonts w:asciiTheme="majorHAnsi" w:eastAsia="Calibri" w:hAnsiTheme="majorHAnsi" w:cstheme="majorHAnsi"/>
                <w:b/>
                <w:bCs/>
                <w:color w:val="000000" w:themeColor="text1"/>
                <w:szCs w:val="24"/>
              </w:rPr>
            </w:pPr>
            <w:proofErr w:type="spellStart"/>
            <w:r w:rsidRPr="001C4A29">
              <w:rPr>
                <w:rFonts w:asciiTheme="majorHAnsi" w:eastAsia="Calibri" w:hAnsiTheme="majorHAnsi" w:cstheme="majorHAnsi"/>
                <w:b/>
                <w:bCs/>
                <w:color w:val="000000" w:themeColor="text1"/>
                <w:szCs w:val="24"/>
              </w:rPr>
              <w:t>Ano</w:t>
            </w:r>
            <w:proofErr w:type="spellEnd"/>
          </w:p>
        </w:tc>
        <w:tc>
          <w:tcPr>
            <w:tcW w:w="1304" w:type="dxa"/>
            <w:shd w:val="clear" w:color="auto" w:fill="FABF8F" w:themeFill="accent6" w:themeFillTint="99"/>
            <w:tcMar>
              <w:top w:w="15" w:type="dxa"/>
              <w:left w:w="15" w:type="dxa"/>
              <w:bottom w:w="0" w:type="dxa"/>
              <w:right w:w="15" w:type="dxa"/>
            </w:tcMar>
            <w:vAlign w:val="center"/>
          </w:tcPr>
          <w:p w:rsidR="0087435D" w:rsidRPr="001C4A29" w:rsidRDefault="0087435D" w:rsidP="0087435D">
            <w:pPr>
              <w:spacing w:after="0" w:line="240" w:lineRule="auto"/>
              <w:ind w:left="57"/>
              <w:jc w:val="center"/>
              <w:rPr>
                <w:rFonts w:asciiTheme="majorHAnsi" w:eastAsia="Times New Roman" w:hAnsiTheme="majorHAnsi" w:cstheme="majorHAnsi"/>
                <w:b/>
                <w:bCs/>
                <w:color w:val="000000" w:themeColor="text1"/>
                <w:szCs w:val="24"/>
              </w:rPr>
            </w:pPr>
            <w:r w:rsidRPr="001C4A29">
              <w:rPr>
                <w:rFonts w:asciiTheme="majorHAnsi" w:eastAsia="Times New Roman" w:hAnsiTheme="majorHAnsi" w:cstheme="majorHAnsi"/>
                <w:b/>
                <w:bCs/>
                <w:color w:val="000000" w:themeColor="text1"/>
                <w:szCs w:val="24"/>
              </w:rPr>
              <w:t>2021</w:t>
            </w:r>
          </w:p>
        </w:tc>
        <w:tc>
          <w:tcPr>
            <w:tcW w:w="1332" w:type="dxa"/>
            <w:shd w:val="clear" w:color="auto" w:fill="FABF8F" w:themeFill="accent6" w:themeFillTint="99"/>
            <w:vAlign w:val="center"/>
          </w:tcPr>
          <w:p w:rsidR="0087435D" w:rsidRPr="001C4A29" w:rsidRDefault="0087435D" w:rsidP="0087435D">
            <w:pPr>
              <w:spacing w:after="0" w:line="240" w:lineRule="auto"/>
              <w:ind w:left="57"/>
              <w:jc w:val="center"/>
              <w:rPr>
                <w:rFonts w:asciiTheme="majorHAnsi" w:eastAsia="Calibri" w:hAnsiTheme="majorHAnsi" w:cstheme="majorHAnsi"/>
                <w:b/>
                <w:bCs/>
                <w:color w:val="000000" w:themeColor="text1"/>
                <w:szCs w:val="24"/>
              </w:rPr>
            </w:pPr>
            <w:r w:rsidRPr="001C4A29">
              <w:rPr>
                <w:rFonts w:asciiTheme="majorHAnsi" w:eastAsia="Calibri" w:hAnsiTheme="majorHAnsi" w:cstheme="majorHAnsi"/>
                <w:b/>
                <w:bCs/>
                <w:color w:val="000000" w:themeColor="text1"/>
                <w:szCs w:val="24"/>
              </w:rPr>
              <w:t>2022</w:t>
            </w:r>
          </w:p>
        </w:tc>
        <w:tc>
          <w:tcPr>
            <w:tcW w:w="1333" w:type="dxa"/>
            <w:shd w:val="clear" w:color="auto" w:fill="FABF8F" w:themeFill="accent6" w:themeFillTint="99"/>
            <w:vAlign w:val="center"/>
          </w:tcPr>
          <w:p w:rsidR="0087435D" w:rsidRPr="001C4A29" w:rsidRDefault="0087435D" w:rsidP="0087435D">
            <w:pPr>
              <w:spacing w:after="0" w:line="240" w:lineRule="auto"/>
              <w:ind w:left="57"/>
              <w:jc w:val="center"/>
              <w:rPr>
                <w:rFonts w:asciiTheme="majorHAnsi" w:eastAsia="Calibri" w:hAnsiTheme="majorHAnsi" w:cstheme="majorHAnsi"/>
                <w:b/>
                <w:bCs/>
                <w:color w:val="000000" w:themeColor="text1"/>
                <w:szCs w:val="24"/>
              </w:rPr>
            </w:pPr>
            <w:r w:rsidRPr="001C4A29">
              <w:rPr>
                <w:rFonts w:asciiTheme="majorHAnsi" w:eastAsia="Calibri" w:hAnsiTheme="majorHAnsi" w:cstheme="majorHAnsi"/>
                <w:b/>
                <w:bCs/>
                <w:color w:val="000000" w:themeColor="text1"/>
                <w:szCs w:val="24"/>
              </w:rPr>
              <w:t>2023</w:t>
            </w:r>
          </w:p>
        </w:tc>
        <w:tc>
          <w:tcPr>
            <w:tcW w:w="1332" w:type="dxa"/>
            <w:shd w:val="clear" w:color="auto" w:fill="FABF8F" w:themeFill="accent6" w:themeFillTint="99"/>
            <w:vAlign w:val="center"/>
          </w:tcPr>
          <w:p w:rsidR="0087435D" w:rsidRDefault="0087435D" w:rsidP="0087435D">
            <w:pPr>
              <w:spacing w:after="0" w:line="240" w:lineRule="auto"/>
              <w:ind w:left="57"/>
              <w:jc w:val="center"/>
              <w:rPr>
                <w:rFonts w:asciiTheme="majorHAnsi" w:eastAsia="Calibri" w:hAnsiTheme="majorHAnsi" w:cstheme="majorHAnsi"/>
                <w:b/>
                <w:bCs/>
                <w:color w:val="000000" w:themeColor="text1"/>
                <w:szCs w:val="24"/>
              </w:rPr>
            </w:pPr>
            <w:r>
              <w:rPr>
                <w:rFonts w:asciiTheme="majorHAnsi" w:eastAsia="Calibri" w:hAnsiTheme="majorHAnsi" w:cstheme="majorHAnsi"/>
                <w:b/>
                <w:bCs/>
                <w:color w:val="000000" w:themeColor="text1"/>
                <w:szCs w:val="24"/>
              </w:rPr>
              <w:t>2024</w:t>
            </w:r>
          </w:p>
        </w:tc>
        <w:tc>
          <w:tcPr>
            <w:tcW w:w="1333" w:type="dxa"/>
            <w:shd w:val="clear" w:color="auto" w:fill="FABF8F" w:themeFill="accent6" w:themeFillTint="99"/>
            <w:tcMar>
              <w:top w:w="15" w:type="dxa"/>
              <w:left w:w="15" w:type="dxa"/>
              <w:bottom w:w="0" w:type="dxa"/>
              <w:right w:w="15" w:type="dxa"/>
            </w:tcMar>
            <w:vAlign w:val="center"/>
          </w:tcPr>
          <w:p w:rsidR="0087435D" w:rsidRPr="001C4A29" w:rsidRDefault="0087435D" w:rsidP="0087435D">
            <w:pPr>
              <w:spacing w:after="0" w:line="240" w:lineRule="auto"/>
              <w:ind w:left="57"/>
              <w:jc w:val="center"/>
              <w:rPr>
                <w:rFonts w:asciiTheme="majorHAnsi" w:eastAsia="Calibri" w:hAnsiTheme="majorHAnsi" w:cstheme="majorHAnsi"/>
                <w:b/>
                <w:bCs/>
                <w:color w:val="000000" w:themeColor="text1"/>
                <w:szCs w:val="24"/>
              </w:rPr>
            </w:pPr>
            <w:r>
              <w:rPr>
                <w:rFonts w:asciiTheme="majorHAnsi" w:eastAsia="Calibri" w:hAnsiTheme="majorHAnsi" w:cstheme="majorHAnsi"/>
                <w:b/>
                <w:bCs/>
                <w:color w:val="000000" w:themeColor="text1"/>
                <w:szCs w:val="24"/>
              </w:rPr>
              <w:t>2025</w:t>
            </w:r>
          </w:p>
        </w:tc>
        <w:tc>
          <w:tcPr>
            <w:tcW w:w="1304" w:type="dxa"/>
            <w:shd w:val="clear" w:color="auto" w:fill="FABF8F" w:themeFill="accent6" w:themeFillTint="99"/>
            <w:vAlign w:val="center"/>
          </w:tcPr>
          <w:p w:rsidR="0087435D" w:rsidRDefault="0087435D" w:rsidP="0087435D">
            <w:pPr>
              <w:spacing w:after="0" w:line="240" w:lineRule="auto"/>
              <w:ind w:left="57"/>
              <w:jc w:val="center"/>
              <w:rPr>
                <w:rFonts w:asciiTheme="majorHAnsi" w:eastAsia="Calibri" w:hAnsiTheme="majorHAnsi" w:cstheme="majorHAnsi"/>
                <w:b/>
                <w:bCs/>
                <w:color w:val="000000" w:themeColor="text1"/>
                <w:szCs w:val="24"/>
              </w:rPr>
            </w:pPr>
            <w:proofErr w:type="spellStart"/>
            <w:r>
              <w:rPr>
                <w:rFonts w:asciiTheme="majorHAnsi" w:eastAsia="Calibri" w:hAnsiTheme="majorHAnsi" w:cstheme="majorHAnsi"/>
                <w:b/>
                <w:bCs/>
                <w:color w:val="000000" w:themeColor="text1"/>
                <w:szCs w:val="24"/>
              </w:rPr>
              <w:t>Variação</w:t>
            </w:r>
            <w:proofErr w:type="spellEnd"/>
          </w:p>
          <w:p w:rsidR="0087435D" w:rsidRDefault="0087435D" w:rsidP="0087435D">
            <w:pPr>
              <w:spacing w:after="0" w:line="240" w:lineRule="auto"/>
              <w:ind w:left="57"/>
              <w:jc w:val="center"/>
              <w:rPr>
                <w:rFonts w:asciiTheme="majorHAnsi" w:eastAsia="Calibri" w:hAnsiTheme="majorHAnsi" w:cstheme="majorHAnsi"/>
                <w:b/>
                <w:bCs/>
                <w:color w:val="000000" w:themeColor="text1"/>
                <w:szCs w:val="24"/>
              </w:rPr>
            </w:pPr>
            <w:r>
              <w:rPr>
                <w:rFonts w:asciiTheme="majorHAnsi" w:eastAsia="Calibri" w:hAnsiTheme="majorHAnsi" w:cstheme="majorHAnsi"/>
                <w:b/>
                <w:bCs/>
                <w:color w:val="000000" w:themeColor="text1"/>
                <w:szCs w:val="24"/>
              </w:rPr>
              <w:t>2021 - 2025</w:t>
            </w:r>
          </w:p>
        </w:tc>
      </w:tr>
      <w:tr w:rsidR="0087435D" w:rsidRPr="00A06787" w:rsidTr="0087435D">
        <w:trPr>
          <w:trHeight w:val="567"/>
        </w:trPr>
        <w:tc>
          <w:tcPr>
            <w:tcW w:w="2127" w:type="dxa"/>
            <w:shd w:val="clear" w:color="auto" w:fill="auto"/>
            <w:tcMar>
              <w:top w:w="15" w:type="dxa"/>
              <w:left w:w="15" w:type="dxa"/>
              <w:bottom w:w="0" w:type="dxa"/>
              <w:right w:w="15" w:type="dxa"/>
            </w:tcMar>
            <w:vAlign w:val="center"/>
            <w:hideMark/>
          </w:tcPr>
          <w:p w:rsidR="0087435D" w:rsidRPr="001C4A29" w:rsidRDefault="0087435D" w:rsidP="0087435D">
            <w:pPr>
              <w:spacing w:after="0" w:line="240" w:lineRule="auto"/>
              <w:ind w:left="57"/>
              <w:jc w:val="both"/>
              <w:rPr>
                <w:rFonts w:asciiTheme="majorHAnsi" w:eastAsia="Times New Roman" w:hAnsiTheme="majorHAnsi" w:cstheme="majorHAnsi"/>
                <w:szCs w:val="24"/>
              </w:rPr>
            </w:pPr>
            <w:proofErr w:type="spellStart"/>
            <w:r w:rsidRPr="001C4A29">
              <w:rPr>
                <w:rFonts w:asciiTheme="majorHAnsi" w:eastAsia="Calibri" w:hAnsiTheme="majorHAnsi" w:cstheme="majorHAnsi"/>
                <w:szCs w:val="24"/>
              </w:rPr>
              <w:t>Metas</w:t>
            </w:r>
            <w:proofErr w:type="spellEnd"/>
            <w:r w:rsidRPr="001C4A29">
              <w:rPr>
                <w:rFonts w:asciiTheme="majorHAnsi" w:eastAsia="Calibri" w:hAnsiTheme="majorHAnsi" w:cstheme="majorHAnsi"/>
                <w:szCs w:val="24"/>
              </w:rPr>
              <w:t xml:space="preserve"> </w:t>
            </w:r>
            <w:proofErr w:type="spellStart"/>
            <w:r w:rsidRPr="001C4A29">
              <w:rPr>
                <w:rFonts w:asciiTheme="majorHAnsi" w:eastAsia="Calibri" w:hAnsiTheme="majorHAnsi" w:cstheme="majorHAnsi"/>
                <w:szCs w:val="24"/>
              </w:rPr>
              <w:t>Nacionais</w:t>
            </w:r>
            <w:proofErr w:type="spellEnd"/>
          </w:p>
        </w:tc>
        <w:tc>
          <w:tcPr>
            <w:tcW w:w="1304" w:type="dxa"/>
            <w:shd w:val="clear" w:color="auto" w:fill="auto"/>
            <w:tcMar>
              <w:top w:w="15" w:type="dxa"/>
              <w:left w:w="15" w:type="dxa"/>
              <w:bottom w:w="0" w:type="dxa"/>
              <w:right w:w="15" w:type="dxa"/>
            </w:tcMar>
            <w:vAlign w:val="center"/>
            <w:hideMark/>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10</w:t>
            </w:r>
          </w:p>
        </w:tc>
        <w:tc>
          <w:tcPr>
            <w:tcW w:w="1332" w:type="dxa"/>
            <w:shd w:val="clear" w:color="auto" w:fill="auto"/>
            <w:vAlign w:val="center"/>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10</w:t>
            </w:r>
          </w:p>
        </w:tc>
        <w:tc>
          <w:tcPr>
            <w:tcW w:w="1333" w:type="dxa"/>
            <w:shd w:val="clear" w:color="auto" w:fill="auto"/>
            <w:vAlign w:val="center"/>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9</w:t>
            </w:r>
            <w:r>
              <w:rPr>
                <w:rFonts w:asciiTheme="majorHAnsi" w:eastAsia="Times New Roman" w:hAnsiTheme="majorHAnsi" w:cstheme="majorHAnsi"/>
                <w:szCs w:val="24"/>
              </w:rPr>
              <w:t>*</w:t>
            </w:r>
          </w:p>
        </w:tc>
        <w:tc>
          <w:tcPr>
            <w:tcW w:w="1332" w:type="dxa"/>
            <w:vAlign w:val="center"/>
          </w:tcPr>
          <w:p w:rsidR="0087435D" w:rsidRPr="00EE092D" w:rsidRDefault="0087435D" w:rsidP="0087435D">
            <w:pPr>
              <w:spacing w:after="0" w:line="240" w:lineRule="auto"/>
              <w:ind w:left="57"/>
              <w:jc w:val="center"/>
              <w:rPr>
                <w:rFonts w:asciiTheme="majorHAnsi" w:eastAsia="Times New Roman" w:hAnsiTheme="majorHAnsi" w:cstheme="majorHAnsi"/>
                <w:szCs w:val="24"/>
              </w:rPr>
            </w:pPr>
            <w:r>
              <w:rPr>
                <w:rFonts w:asciiTheme="majorHAnsi" w:eastAsia="Times New Roman" w:hAnsiTheme="majorHAnsi" w:cstheme="majorHAnsi"/>
                <w:szCs w:val="24"/>
              </w:rPr>
              <w:t>9*</w:t>
            </w:r>
          </w:p>
        </w:tc>
        <w:tc>
          <w:tcPr>
            <w:tcW w:w="1333" w:type="dxa"/>
            <w:shd w:val="clear" w:color="auto" w:fill="auto"/>
            <w:tcMar>
              <w:top w:w="15" w:type="dxa"/>
              <w:left w:w="15" w:type="dxa"/>
              <w:bottom w:w="0" w:type="dxa"/>
              <w:right w:w="15" w:type="dxa"/>
            </w:tcMar>
            <w:vAlign w:val="center"/>
          </w:tcPr>
          <w:p w:rsidR="0087435D" w:rsidRPr="00EE092D" w:rsidRDefault="0087435D" w:rsidP="0087435D">
            <w:pPr>
              <w:spacing w:after="0" w:line="240" w:lineRule="auto"/>
              <w:ind w:left="57"/>
              <w:jc w:val="center"/>
              <w:rPr>
                <w:rFonts w:asciiTheme="majorHAnsi" w:eastAsia="Times New Roman" w:hAnsiTheme="majorHAnsi" w:cstheme="majorHAnsi"/>
                <w:szCs w:val="24"/>
              </w:rPr>
            </w:pPr>
            <w:r>
              <w:rPr>
                <w:rFonts w:asciiTheme="majorHAnsi" w:eastAsia="Times New Roman" w:hAnsiTheme="majorHAnsi" w:cstheme="majorHAnsi"/>
                <w:szCs w:val="24"/>
              </w:rPr>
              <w:t>10</w:t>
            </w:r>
          </w:p>
        </w:tc>
        <w:tc>
          <w:tcPr>
            <w:tcW w:w="1304" w:type="dxa"/>
            <w:vAlign w:val="center"/>
          </w:tcPr>
          <w:p w:rsidR="0087435D" w:rsidRPr="00EE092D" w:rsidRDefault="0087435D" w:rsidP="0087435D">
            <w:pPr>
              <w:spacing w:after="0" w:line="240" w:lineRule="auto"/>
              <w:ind w:left="57"/>
              <w:jc w:val="center"/>
              <w:rPr>
                <w:rFonts w:asciiTheme="majorHAnsi" w:eastAsia="Times New Roman" w:hAnsiTheme="majorHAnsi" w:cstheme="majorHAnsi"/>
                <w:szCs w:val="24"/>
              </w:rPr>
            </w:pPr>
            <w:r>
              <w:rPr>
                <w:rFonts w:asciiTheme="majorHAnsi" w:eastAsia="Times New Roman" w:hAnsiTheme="majorHAnsi" w:cstheme="majorHAnsi"/>
                <w:szCs w:val="24"/>
              </w:rPr>
              <w:t>0,0%</w:t>
            </w:r>
          </w:p>
        </w:tc>
      </w:tr>
      <w:tr w:rsidR="0087435D" w:rsidRPr="00A06787" w:rsidTr="0087435D">
        <w:trPr>
          <w:trHeight w:val="567"/>
        </w:trPr>
        <w:tc>
          <w:tcPr>
            <w:tcW w:w="2127" w:type="dxa"/>
            <w:shd w:val="clear" w:color="auto" w:fill="auto"/>
            <w:tcMar>
              <w:top w:w="15" w:type="dxa"/>
              <w:left w:w="15" w:type="dxa"/>
              <w:bottom w:w="0" w:type="dxa"/>
              <w:right w:w="15" w:type="dxa"/>
            </w:tcMar>
            <w:vAlign w:val="center"/>
            <w:hideMark/>
          </w:tcPr>
          <w:p w:rsidR="0087435D" w:rsidRPr="001C4A29" w:rsidRDefault="0087435D" w:rsidP="0087435D">
            <w:pPr>
              <w:spacing w:after="0" w:line="240" w:lineRule="auto"/>
              <w:ind w:left="57"/>
              <w:jc w:val="both"/>
              <w:rPr>
                <w:rFonts w:asciiTheme="majorHAnsi" w:eastAsia="Times New Roman" w:hAnsiTheme="majorHAnsi" w:cstheme="majorHAnsi"/>
                <w:szCs w:val="24"/>
              </w:rPr>
            </w:pPr>
            <w:proofErr w:type="spellStart"/>
            <w:r w:rsidRPr="001C4A29">
              <w:rPr>
                <w:rFonts w:asciiTheme="majorHAnsi" w:eastAsia="Calibri" w:hAnsiTheme="majorHAnsi" w:cstheme="majorHAnsi"/>
                <w:szCs w:val="24"/>
              </w:rPr>
              <w:t>Metas</w:t>
            </w:r>
            <w:proofErr w:type="spellEnd"/>
            <w:r w:rsidRPr="001C4A29">
              <w:rPr>
                <w:rFonts w:asciiTheme="majorHAnsi" w:eastAsia="Calibri" w:hAnsiTheme="majorHAnsi" w:cstheme="majorHAnsi"/>
                <w:szCs w:val="24"/>
              </w:rPr>
              <w:t xml:space="preserve"> </w:t>
            </w:r>
            <w:proofErr w:type="spellStart"/>
            <w:r w:rsidRPr="001C4A29">
              <w:rPr>
                <w:rFonts w:asciiTheme="majorHAnsi" w:eastAsia="Calibri" w:hAnsiTheme="majorHAnsi" w:cstheme="majorHAnsi"/>
                <w:szCs w:val="24"/>
              </w:rPr>
              <w:t>Institucionais</w:t>
            </w:r>
            <w:proofErr w:type="spellEnd"/>
          </w:p>
        </w:tc>
        <w:tc>
          <w:tcPr>
            <w:tcW w:w="1304" w:type="dxa"/>
            <w:shd w:val="clear" w:color="auto" w:fill="auto"/>
            <w:tcMar>
              <w:top w:w="15" w:type="dxa"/>
              <w:left w:w="15" w:type="dxa"/>
              <w:bottom w:w="0" w:type="dxa"/>
              <w:right w:w="15" w:type="dxa"/>
            </w:tcMar>
            <w:vAlign w:val="center"/>
            <w:hideMark/>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56</w:t>
            </w:r>
          </w:p>
        </w:tc>
        <w:tc>
          <w:tcPr>
            <w:tcW w:w="1332" w:type="dxa"/>
            <w:shd w:val="clear" w:color="auto" w:fill="auto"/>
            <w:vAlign w:val="center"/>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59</w:t>
            </w:r>
          </w:p>
        </w:tc>
        <w:tc>
          <w:tcPr>
            <w:tcW w:w="1333" w:type="dxa"/>
            <w:shd w:val="clear" w:color="auto" w:fill="auto"/>
            <w:vAlign w:val="center"/>
          </w:tcPr>
          <w:p w:rsidR="0087435D" w:rsidRPr="001C4A29" w:rsidRDefault="0087435D" w:rsidP="0087435D">
            <w:pPr>
              <w:spacing w:after="0" w:line="240" w:lineRule="auto"/>
              <w:ind w:left="57"/>
              <w:jc w:val="center"/>
              <w:rPr>
                <w:rFonts w:asciiTheme="majorHAnsi" w:eastAsia="Times New Roman" w:hAnsiTheme="majorHAnsi" w:cstheme="majorHAnsi"/>
                <w:szCs w:val="24"/>
              </w:rPr>
            </w:pPr>
            <w:r w:rsidRPr="001C4A29">
              <w:rPr>
                <w:rFonts w:asciiTheme="majorHAnsi" w:eastAsia="Times New Roman" w:hAnsiTheme="majorHAnsi" w:cstheme="majorHAnsi"/>
                <w:szCs w:val="24"/>
              </w:rPr>
              <w:t>67</w:t>
            </w:r>
          </w:p>
        </w:tc>
        <w:tc>
          <w:tcPr>
            <w:tcW w:w="1332" w:type="dxa"/>
            <w:vAlign w:val="center"/>
          </w:tcPr>
          <w:p w:rsidR="0087435D" w:rsidRPr="0061659C" w:rsidRDefault="0087435D" w:rsidP="0087435D">
            <w:pPr>
              <w:spacing w:after="0" w:line="240" w:lineRule="auto"/>
              <w:ind w:left="57"/>
              <w:jc w:val="center"/>
              <w:rPr>
                <w:rFonts w:asciiTheme="majorHAnsi" w:eastAsia="Times New Roman" w:hAnsiTheme="majorHAnsi" w:cstheme="majorHAnsi"/>
                <w:szCs w:val="24"/>
              </w:rPr>
            </w:pPr>
            <w:r w:rsidRPr="0061659C">
              <w:rPr>
                <w:rFonts w:asciiTheme="majorHAnsi" w:eastAsia="Times New Roman" w:hAnsiTheme="majorHAnsi" w:cstheme="majorHAnsi"/>
                <w:szCs w:val="24"/>
              </w:rPr>
              <w:t>74</w:t>
            </w:r>
          </w:p>
        </w:tc>
        <w:tc>
          <w:tcPr>
            <w:tcW w:w="1333" w:type="dxa"/>
            <w:shd w:val="clear" w:color="auto" w:fill="auto"/>
            <w:tcMar>
              <w:top w:w="15" w:type="dxa"/>
              <w:left w:w="15" w:type="dxa"/>
              <w:bottom w:w="0" w:type="dxa"/>
              <w:right w:w="15" w:type="dxa"/>
            </w:tcMar>
            <w:vAlign w:val="center"/>
          </w:tcPr>
          <w:p w:rsidR="0087435D" w:rsidRPr="00EE092D" w:rsidRDefault="0087435D" w:rsidP="0087435D">
            <w:pPr>
              <w:spacing w:after="0" w:line="240" w:lineRule="auto"/>
              <w:ind w:left="57"/>
              <w:jc w:val="center"/>
              <w:rPr>
                <w:rFonts w:asciiTheme="majorHAnsi" w:eastAsia="Times New Roman" w:hAnsiTheme="majorHAnsi" w:cstheme="majorHAnsi"/>
                <w:szCs w:val="24"/>
              </w:rPr>
            </w:pPr>
            <w:r>
              <w:rPr>
                <w:rFonts w:asciiTheme="majorHAnsi" w:eastAsia="Times New Roman" w:hAnsiTheme="majorHAnsi" w:cstheme="majorHAnsi"/>
                <w:szCs w:val="24"/>
              </w:rPr>
              <w:t>54</w:t>
            </w:r>
          </w:p>
        </w:tc>
        <w:tc>
          <w:tcPr>
            <w:tcW w:w="1304" w:type="dxa"/>
            <w:vAlign w:val="center"/>
          </w:tcPr>
          <w:p w:rsidR="0087435D" w:rsidRDefault="0087435D" w:rsidP="0087435D">
            <w:pPr>
              <w:spacing w:after="0" w:line="240" w:lineRule="auto"/>
              <w:ind w:left="57"/>
              <w:jc w:val="center"/>
              <w:rPr>
                <w:rFonts w:asciiTheme="majorHAnsi" w:eastAsia="Times New Roman" w:hAnsiTheme="majorHAnsi" w:cstheme="majorHAnsi"/>
                <w:szCs w:val="24"/>
              </w:rPr>
            </w:pPr>
            <w:r>
              <w:rPr>
                <w:rFonts w:asciiTheme="majorHAnsi" w:eastAsia="Times New Roman" w:hAnsiTheme="majorHAnsi" w:cstheme="majorHAnsi"/>
                <w:szCs w:val="24"/>
              </w:rPr>
              <w:t>-3,57</w:t>
            </w:r>
            <w:r w:rsidRPr="00EE092D">
              <w:rPr>
                <w:rFonts w:asciiTheme="majorHAnsi" w:eastAsia="Times New Roman" w:hAnsiTheme="majorHAnsi" w:cstheme="majorHAnsi"/>
                <w:szCs w:val="24"/>
              </w:rPr>
              <w:t>%</w:t>
            </w:r>
          </w:p>
        </w:tc>
      </w:tr>
      <w:tr w:rsidR="0087435D" w:rsidRPr="00A06787" w:rsidTr="0087435D">
        <w:trPr>
          <w:trHeight w:val="397"/>
        </w:trPr>
        <w:tc>
          <w:tcPr>
            <w:tcW w:w="2127" w:type="dxa"/>
            <w:shd w:val="clear" w:color="auto" w:fill="404040" w:themeFill="text1" w:themeFillTint="BF"/>
            <w:tcMar>
              <w:top w:w="15" w:type="dxa"/>
              <w:left w:w="15" w:type="dxa"/>
              <w:bottom w:w="0" w:type="dxa"/>
              <w:right w:w="15" w:type="dxa"/>
            </w:tcMar>
            <w:vAlign w:val="center"/>
            <w:hideMark/>
          </w:tcPr>
          <w:p w:rsidR="0087435D" w:rsidRPr="0032409C"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sidRPr="0032409C">
              <w:rPr>
                <w:rFonts w:asciiTheme="majorHAnsi" w:eastAsia="Calibri" w:hAnsiTheme="majorHAnsi" w:cstheme="majorHAnsi"/>
                <w:b/>
                <w:bCs/>
                <w:color w:val="FFFFFF" w:themeColor="background1"/>
                <w:szCs w:val="24"/>
              </w:rPr>
              <w:t>Total</w:t>
            </w:r>
          </w:p>
        </w:tc>
        <w:tc>
          <w:tcPr>
            <w:tcW w:w="1304" w:type="dxa"/>
            <w:shd w:val="clear" w:color="auto" w:fill="404040" w:themeFill="text1" w:themeFillTint="BF"/>
            <w:tcMar>
              <w:top w:w="15" w:type="dxa"/>
              <w:left w:w="15" w:type="dxa"/>
              <w:bottom w:w="0" w:type="dxa"/>
              <w:right w:w="15" w:type="dxa"/>
            </w:tcMar>
            <w:vAlign w:val="center"/>
            <w:hideMark/>
          </w:tcPr>
          <w:p w:rsidR="0087435D" w:rsidRPr="0032409C"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sidRPr="0032409C">
              <w:rPr>
                <w:rFonts w:asciiTheme="majorHAnsi" w:eastAsia="Times New Roman" w:hAnsiTheme="majorHAnsi" w:cstheme="majorHAnsi"/>
                <w:b/>
                <w:bCs/>
                <w:color w:val="FFFFFF" w:themeColor="background1"/>
                <w:szCs w:val="24"/>
              </w:rPr>
              <w:t>66</w:t>
            </w:r>
          </w:p>
        </w:tc>
        <w:tc>
          <w:tcPr>
            <w:tcW w:w="1332" w:type="dxa"/>
            <w:shd w:val="clear" w:color="auto" w:fill="404040" w:themeFill="text1" w:themeFillTint="BF"/>
            <w:vAlign w:val="center"/>
          </w:tcPr>
          <w:p w:rsidR="0087435D" w:rsidRPr="0032409C"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sidRPr="0032409C">
              <w:rPr>
                <w:rFonts w:asciiTheme="majorHAnsi" w:eastAsia="Times New Roman" w:hAnsiTheme="majorHAnsi" w:cstheme="majorHAnsi"/>
                <w:b/>
                <w:bCs/>
                <w:color w:val="FFFFFF" w:themeColor="background1"/>
                <w:szCs w:val="24"/>
              </w:rPr>
              <w:t>69</w:t>
            </w:r>
          </w:p>
        </w:tc>
        <w:tc>
          <w:tcPr>
            <w:tcW w:w="1333" w:type="dxa"/>
            <w:shd w:val="clear" w:color="auto" w:fill="404040" w:themeFill="text1" w:themeFillTint="BF"/>
            <w:vAlign w:val="center"/>
          </w:tcPr>
          <w:p w:rsidR="0087435D" w:rsidRPr="00524CFA"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sidRPr="00524CFA">
              <w:rPr>
                <w:rFonts w:asciiTheme="majorHAnsi" w:eastAsia="Times New Roman" w:hAnsiTheme="majorHAnsi" w:cstheme="majorHAnsi"/>
                <w:b/>
                <w:bCs/>
                <w:color w:val="FFFFFF" w:themeColor="background1"/>
                <w:szCs w:val="24"/>
              </w:rPr>
              <w:t>76</w:t>
            </w:r>
          </w:p>
        </w:tc>
        <w:tc>
          <w:tcPr>
            <w:tcW w:w="1332" w:type="dxa"/>
            <w:shd w:val="clear" w:color="auto" w:fill="404040" w:themeFill="text1" w:themeFillTint="BF"/>
            <w:vAlign w:val="center"/>
          </w:tcPr>
          <w:p w:rsidR="0087435D" w:rsidRPr="00524CFA"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sidRPr="00524CFA">
              <w:rPr>
                <w:rFonts w:asciiTheme="majorHAnsi" w:eastAsia="Times New Roman" w:hAnsiTheme="majorHAnsi" w:cstheme="majorHAnsi"/>
                <w:b/>
                <w:bCs/>
                <w:color w:val="FFFFFF" w:themeColor="background1"/>
                <w:szCs w:val="24"/>
              </w:rPr>
              <w:t>83</w:t>
            </w:r>
          </w:p>
        </w:tc>
        <w:tc>
          <w:tcPr>
            <w:tcW w:w="1333" w:type="dxa"/>
            <w:shd w:val="clear" w:color="auto" w:fill="404040" w:themeFill="text1" w:themeFillTint="BF"/>
            <w:tcMar>
              <w:top w:w="15" w:type="dxa"/>
              <w:left w:w="15" w:type="dxa"/>
              <w:bottom w:w="0" w:type="dxa"/>
              <w:right w:w="15" w:type="dxa"/>
            </w:tcMar>
            <w:vAlign w:val="center"/>
          </w:tcPr>
          <w:p w:rsidR="0087435D" w:rsidRPr="0032409C"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Pr>
                <w:rFonts w:asciiTheme="majorHAnsi" w:eastAsia="Times New Roman" w:hAnsiTheme="majorHAnsi" w:cstheme="majorHAnsi"/>
                <w:b/>
                <w:bCs/>
                <w:color w:val="FFFFFF" w:themeColor="background1"/>
                <w:szCs w:val="24"/>
              </w:rPr>
              <w:t>64</w:t>
            </w:r>
          </w:p>
        </w:tc>
        <w:tc>
          <w:tcPr>
            <w:tcW w:w="1304" w:type="dxa"/>
            <w:shd w:val="clear" w:color="auto" w:fill="404040" w:themeFill="text1" w:themeFillTint="BF"/>
            <w:vAlign w:val="center"/>
          </w:tcPr>
          <w:p w:rsidR="0087435D"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Pr>
                <w:rFonts w:asciiTheme="majorHAnsi" w:eastAsia="Times New Roman" w:hAnsiTheme="majorHAnsi" w:cstheme="majorHAnsi"/>
                <w:b/>
                <w:bCs/>
                <w:color w:val="FFFFFF" w:themeColor="background1"/>
                <w:szCs w:val="24"/>
              </w:rPr>
              <w:t>-12,12%</w:t>
            </w:r>
          </w:p>
        </w:tc>
      </w:tr>
    </w:tbl>
    <w:p w:rsidR="0087435D" w:rsidRPr="0087435D" w:rsidRDefault="0087435D" w:rsidP="0087435D">
      <w:pPr>
        <w:spacing w:line="240" w:lineRule="auto"/>
        <w:ind w:left="57"/>
        <w:jc w:val="both"/>
        <w:rPr>
          <w:rFonts w:asciiTheme="majorHAnsi" w:hAnsiTheme="majorHAnsi" w:cstheme="majorHAnsi"/>
          <w:sz w:val="20"/>
          <w:szCs w:val="20"/>
          <w:lang w:val="pt-BR"/>
        </w:rPr>
      </w:pPr>
      <w:r w:rsidRPr="0087435D">
        <w:rPr>
          <w:rFonts w:asciiTheme="majorHAnsi" w:hAnsiTheme="majorHAnsi" w:cstheme="majorHAnsi"/>
          <w:sz w:val="20"/>
          <w:szCs w:val="20"/>
          <w:lang w:val="pt-BR"/>
        </w:rPr>
        <w:t>*Destaca-se que a redução no número de metas nacionais no período decorreu de revisões propostas pelo Conselho Nacional de Justiça – CNJ, e aprovada pelos Tribunais Estaduais, em relação a seu compromisso com o aperfeiçoamento da prestação jurisdicional.</w:t>
      </w:r>
    </w:p>
    <w:p w:rsidR="0087435D" w:rsidRDefault="0087435D" w:rsidP="0087435D">
      <w:pPr>
        <w:pStyle w:val="Default"/>
        <w:spacing w:before="480" w:after="100" w:afterAutospacing="1" w:line="360" w:lineRule="auto"/>
        <w:ind w:firstLine="720"/>
        <w:jc w:val="both"/>
        <w:rPr>
          <w:rFonts w:asciiTheme="majorHAnsi" w:hAnsiTheme="majorHAnsi" w:cstheme="majorHAnsi"/>
          <w:bCs/>
          <w:color w:val="auto"/>
          <w:szCs w:val="22"/>
        </w:rPr>
      </w:pPr>
      <w:r w:rsidRPr="00DC16BD">
        <w:rPr>
          <w:rFonts w:asciiTheme="majorHAnsi" w:hAnsiTheme="majorHAnsi" w:cstheme="majorHAnsi"/>
          <w:bCs/>
          <w:color w:val="auto"/>
          <w:szCs w:val="22"/>
        </w:rPr>
        <w:t xml:space="preserve">No que se refere aos </w:t>
      </w:r>
      <w:proofErr w:type="spellStart"/>
      <w:r w:rsidRPr="00DC16BD">
        <w:rPr>
          <w:rFonts w:asciiTheme="majorHAnsi" w:hAnsiTheme="majorHAnsi" w:cstheme="majorHAnsi"/>
          <w:bCs/>
          <w:color w:val="auto"/>
          <w:szCs w:val="22"/>
        </w:rPr>
        <w:t>macrodesafios</w:t>
      </w:r>
      <w:proofErr w:type="spellEnd"/>
      <w:r w:rsidRPr="00DC16BD">
        <w:rPr>
          <w:rFonts w:asciiTheme="majorHAnsi" w:hAnsiTheme="majorHAnsi" w:cstheme="majorHAnsi"/>
          <w:bCs/>
          <w:color w:val="auto"/>
          <w:szCs w:val="22"/>
        </w:rPr>
        <w:t xml:space="preserve">, destaca-se o aumento de </w:t>
      </w:r>
      <w:r w:rsidRPr="00DC16BD">
        <w:rPr>
          <w:rFonts w:asciiTheme="majorHAnsi" w:eastAsia="Times New Roman" w:hAnsiTheme="majorHAnsi" w:cstheme="majorHAnsi"/>
          <w:bCs/>
          <w:color w:val="auto"/>
        </w:rPr>
        <w:t>27,3%</w:t>
      </w:r>
      <w:r w:rsidRPr="00DC16BD">
        <w:rPr>
          <w:rFonts w:asciiTheme="majorHAnsi" w:hAnsiTheme="majorHAnsi" w:cstheme="majorHAnsi"/>
          <w:bCs/>
          <w:color w:val="auto"/>
          <w:szCs w:val="22"/>
        </w:rPr>
        <w:t xml:space="preserve"> no número de metas relacionadas ao </w:t>
      </w:r>
      <w:proofErr w:type="spellStart"/>
      <w:r w:rsidRPr="00DC16BD">
        <w:rPr>
          <w:rFonts w:asciiTheme="majorHAnsi" w:hAnsiTheme="majorHAnsi" w:cstheme="majorHAnsi"/>
          <w:bCs/>
          <w:color w:val="auto"/>
          <w:szCs w:val="22"/>
        </w:rPr>
        <w:t>macrodesafio</w:t>
      </w:r>
      <w:proofErr w:type="spellEnd"/>
      <w:r w:rsidRPr="00DC16BD">
        <w:rPr>
          <w:rFonts w:asciiTheme="majorHAnsi" w:hAnsiTheme="majorHAnsi" w:cstheme="majorHAnsi"/>
          <w:bCs/>
          <w:color w:val="auto"/>
          <w:szCs w:val="22"/>
        </w:rPr>
        <w:t xml:space="preserve"> 3, que visa promover maior agilidade e produtividade na prestação jurisdicional</w:t>
      </w:r>
      <w:r>
        <w:rPr>
          <w:rFonts w:asciiTheme="majorHAnsi" w:hAnsiTheme="majorHAnsi" w:cstheme="majorHAnsi"/>
          <w:bCs/>
          <w:color w:val="auto"/>
          <w:szCs w:val="22"/>
        </w:rPr>
        <w:t xml:space="preserve">, </w:t>
      </w:r>
      <w:r w:rsidRPr="00DC16BD">
        <w:rPr>
          <w:rFonts w:asciiTheme="majorHAnsi" w:hAnsiTheme="majorHAnsi" w:cstheme="majorHAnsi"/>
          <w:bCs/>
          <w:color w:val="auto"/>
          <w:szCs w:val="22"/>
        </w:rPr>
        <w:t>entre os anos 2021 e 2025.</w:t>
      </w:r>
    </w:p>
    <w:p w:rsidR="0087435D" w:rsidRDefault="0087435D" w:rsidP="0087435D">
      <w:pPr>
        <w:pStyle w:val="Default"/>
        <w:spacing w:line="360" w:lineRule="auto"/>
        <w:ind w:firstLine="720"/>
        <w:jc w:val="both"/>
        <w:rPr>
          <w:rFonts w:asciiTheme="majorHAnsi" w:hAnsiTheme="majorHAnsi" w:cstheme="majorHAnsi"/>
          <w:bCs/>
          <w:color w:val="auto"/>
          <w:szCs w:val="22"/>
        </w:rPr>
      </w:pPr>
    </w:p>
    <w:p w:rsidR="0087435D" w:rsidRDefault="0087435D" w:rsidP="0087435D">
      <w:pPr>
        <w:pStyle w:val="Default"/>
        <w:spacing w:line="360" w:lineRule="auto"/>
        <w:ind w:firstLine="720"/>
        <w:jc w:val="both"/>
        <w:rPr>
          <w:rFonts w:asciiTheme="majorHAnsi" w:hAnsiTheme="majorHAnsi" w:cstheme="majorHAnsi"/>
          <w:bCs/>
          <w:color w:val="auto"/>
          <w:szCs w:val="22"/>
        </w:rPr>
      </w:pPr>
    </w:p>
    <w:tbl>
      <w:tblPr>
        <w:tblW w:w="10415" w:type="dxa"/>
        <w:tblInd w:w="-639" w:type="dxa"/>
        <w:tblBorders>
          <w:top w:val="single" w:sz="4" w:space="0" w:color="984806" w:themeColor="accent6" w:themeShade="80"/>
          <w:left w:val="single" w:sz="4" w:space="0" w:color="984806" w:themeColor="accent6" w:themeShade="80"/>
          <w:bottom w:val="single" w:sz="4" w:space="0" w:color="984806" w:themeColor="accent6" w:themeShade="80"/>
          <w:right w:val="single" w:sz="4" w:space="0" w:color="984806" w:themeColor="accent6" w:themeShade="80"/>
          <w:insideH w:val="single" w:sz="4" w:space="0" w:color="984806" w:themeColor="accent6" w:themeShade="80"/>
          <w:insideV w:val="single" w:sz="4" w:space="0" w:color="984806" w:themeColor="accent6" w:themeShade="80"/>
        </w:tblBorders>
        <w:tblLayout w:type="fixed"/>
        <w:tblCellMar>
          <w:left w:w="70" w:type="dxa"/>
          <w:right w:w="70" w:type="dxa"/>
        </w:tblCellMar>
        <w:tblLook w:val="04A0" w:firstRow="1" w:lastRow="0" w:firstColumn="1" w:lastColumn="0" w:noHBand="0" w:noVBand="1"/>
      </w:tblPr>
      <w:tblGrid>
        <w:gridCol w:w="5879"/>
        <w:gridCol w:w="907"/>
        <w:gridCol w:w="907"/>
        <w:gridCol w:w="907"/>
        <w:gridCol w:w="907"/>
        <w:gridCol w:w="908"/>
      </w:tblGrid>
      <w:tr w:rsidR="0087435D" w:rsidRPr="0087435D" w:rsidTr="0087435D">
        <w:trPr>
          <w:trHeight w:val="454"/>
        </w:trPr>
        <w:tc>
          <w:tcPr>
            <w:tcW w:w="10415" w:type="dxa"/>
            <w:gridSpan w:val="6"/>
            <w:shd w:val="clear" w:color="auto" w:fill="E36C0A" w:themeFill="accent6" w:themeFillShade="BF"/>
            <w:noWrap/>
            <w:vAlign w:val="center"/>
          </w:tcPr>
          <w:p w:rsidR="0087435D" w:rsidRPr="0087435D"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lang w:val="pt-BR"/>
              </w:rPr>
            </w:pPr>
            <w:r w:rsidRPr="0087435D">
              <w:rPr>
                <w:rFonts w:asciiTheme="majorHAnsi" w:eastAsia="Times New Roman" w:hAnsiTheme="majorHAnsi" w:cstheme="majorHAnsi"/>
                <w:b/>
                <w:bCs/>
                <w:color w:val="FFFFFF" w:themeColor="background1"/>
                <w:sz w:val="24"/>
                <w:szCs w:val="24"/>
                <w:lang w:val="pt-BR"/>
              </w:rPr>
              <w:t>TOTAL DE METAS POR MACRODESAFIO – COMPARATIVO 2021 A 2025</w:t>
            </w:r>
          </w:p>
        </w:tc>
      </w:tr>
      <w:tr w:rsidR="0087435D" w:rsidRPr="00C77DFB" w:rsidTr="0087435D">
        <w:trPr>
          <w:trHeight w:val="454"/>
        </w:trPr>
        <w:tc>
          <w:tcPr>
            <w:tcW w:w="5879" w:type="dxa"/>
            <w:shd w:val="clear" w:color="auto" w:fill="FABF8F" w:themeFill="accent6" w:themeFillTint="99"/>
            <w:noWrap/>
            <w:vAlign w:val="center"/>
            <w:hideMark/>
          </w:tcPr>
          <w:p w:rsidR="0087435D" w:rsidRPr="00C77DFB" w:rsidRDefault="0087435D" w:rsidP="0087435D">
            <w:pPr>
              <w:spacing w:after="0" w:line="240" w:lineRule="auto"/>
              <w:ind w:left="57"/>
              <w:jc w:val="both"/>
              <w:rPr>
                <w:rFonts w:asciiTheme="majorHAnsi" w:eastAsia="Times New Roman" w:hAnsiTheme="majorHAnsi" w:cstheme="majorHAnsi"/>
                <w:b/>
                <w:bCs/>
                <w:color w:val="000000"/>
                <w:sz w:val="24"/>
                <w:szCs w:val="24"/>
              </w:rPr>
            </w:pPr>
            <w:proofErr w:type="spellStart"/>
            <w:r w:rsidRPr="00C77DFB">
              <w:rPr>
                <w:rFonts w:asciiTheme="majorHAnsi" w:eastAsia="Times New Roman" w:hAnsiTheme="majorHAnsi" w:cstheme="majorHAnsi"/>
                <w:b/>
                <w:bCs/>
                <w:color w:val="000000"/>
                <w:sz w:val="24"/>
                <w:szCs w:val="24"/>
              </w:rPr>
              <w:t>Macrodesafio</w:t>
            </w:r>
            <w:proofErr w:type="spellEnd"/>
          </w:p>
        </w:tc>
        <w:tc>
          <w:tcPr>
            <w:tcW w:w="907" w:type="dxa"/>
            <w:shd w:val="clear" w:color="auto" w:fill="FABF8F" w:themeFill="accent6" w:themeFillTint="99"/>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000000"/>
                <w:sz w:val="24"/>
                <w:szCs w:val="24"/>
              </w:rPr>
            </w:pPr>
            <w:r w:rsidRPr="00C77DFB">
              <w:rPr>
                <w:rFonts w:asciiTheme="majorHAnsi" w:eastAsia="Times New Roman" w:hAnsiTheme="majorHAnsi" w:cstheme="majorHAnsi"/>
                <w:b/>
                <w:bCs/>
                <w:color w:val="000000"/>
                <w:sz w:val="24"/>
                <w:szCs w:val="24"/>
              </w:rPr>
              <w:t>2021</w:t>
            </w:r>
          </w:p>
        </w:tc>
        <w:tc>
          <w:tcPr>
            <w:tcW w:w="907" w:type="dxa"/>
            <w:shd w:val="clear" w:color="auto" w:fill="FABF8F" w:themeFill="accent6" w:themeFillTint="99"/>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000000"/>
                <w:sz w:val="24"/>
                <w:szCs w:val="24"/>
              </w:rPr>
            </w:pPr>
            <w:r w:rsidRPr="00C77DFB">
              <w:rPr>
                <w:rFonts w:asciiTheme="majorHAnsi" w:eastAsia="Times New Roman" w:hAnsiTheme="majorHAnsi" w:cstheme="majorHAnsi"/>
                <w:b/>
                <w:bCs/>
                <w:color w:val="000000"/>
                <w:sz w:val="24"/>
                <w:szCs w:val="24"/>
              </w:rPr>
              <w:t>2022</w:t>
            </w:r>
          </w:p>
        </w:tc>
        <w:tc>
          <w:tcPr>
            <w:tcW w:w="907" w:type="dxa"/>
            <w:shd w:val="clear" w:color="auto" w:fill="FABF8F" w:themeFill="accent6" w:themeFillTint="99"/>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000000"/>
                <w:sz w:val="24"/>
                <w:szCs w:val="24"/>
              </w:rPr>
            </w:pPr>
            <w:r w:rsidRPr="00C77DFB">
              <w:rPr>
                <w:rFonts w:asciiTheme="majorHAnsi" w:eastAsia="Times New Roman" w:hAnsiTheme="majorHAnsi" w:cstheme="majorHAnsi"/>
                <w:b/>
                <w:bCs/>
                <w:color w:val="000000"/>
                <w:sz w:val="24"/>
                <w:szCs w:val="24"/>
              </w:rPr>
              <w:t>2023</w:t>
            </w:r>
          </w:p>
        </w:tc>
        <w:tc>
          <w:tcPr>
            <w:tcW w:w="907" w:type="dxa"/>
            <w:shd w:val="clear" w:color="auto" w:fill="FABF8F" w:themeFill="accent6" w:themeFillTint="99"/>
            <w:vAlign w:val="center"/>
          </w:tcPr>
          <w:p w:rsidR="0087435D" w:rsidRPr="00C77DFB" w:rsidRDefault="0087435D" w:rsidP="0087435D">
            <w:pPr>
              <w:spacing w:after="0" w:line="240" w:lineRule="auto"/>
              <w:ind w:left="57"/>
              <w:jc w:val="cente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2024</w:t>
            </w:r>
          </w:p>
        </w:tc>
        <w:tc>
          <w:tcPr>
            <w:tcW w:w="908" w:type="dxa"/>
            <w:shd w:val="clear" w:color="auto" w:fill="FABF8F" w:themeFill="accent6" w:themeFillTint="99"/>
            <w:vAlign w:val="center"/>
          </w:tcPr>
          <w:p w:rsidR="0087435D" w:rsidRDefault="0087435D" w:rsidP="0087435D">
            <w:pPr>
              <w:spacing w:after="0" w:line="240" w:lineRule="auto"/>
              <w:ind w:left="57"/>
              <w:jc w:val="center"/>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2025</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1 - Garantia dos Direitos Fundamentais e do Estado Democrático de Direito</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8</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7</w:t>
            </w:r>
          </w:p>
        </w:tc>
        <w:tc>
          <w:tcPr>
            <w:tcW w:w="907" w:type="dxa"/>
            <w:shd w:val="clear" w:color="auto" w:fill="auto"/>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9</w:t>
            </w:r>
          </w:p>
        </w:tc>
        <w:tc>
          <w:tcPr>
            <w:tcW w:w="908" w:type="dxa"/>
            <w:shd w:val="clear" w:color="auto" w:fill="auto"/>
            <w:vAlign w:val="center"/>
          </w:tcPr>
          <w:p w:rsidR="0087435D" w:rsidRPr="00DC16BD" w:rsidRDefault="0087435D" w:rsidP="0087435D">
            <w:pPr>
              <w:spacing w:after="0" w:line="240" w:lineRule="auto"/>
              <w:ind w:left="57"/>
              <w:jc w:val="center"/>
              <w:rPr>
                <w:rFonts w:asciiTheme="majorHAnsi" w:eastAsia="Times New Roman" w:hAnsiTheme="majorHAnsi" w:cstheme="majorHAnsi"/>
              </w:rPr>
            </w:pPr>
            <w:r w:rsidRPr="00DC16BD">
              <w:rPr>
                <w:rFonts w:asciiTheme="majorHAnsi" w:eastAsia="Times New Roman" w:hAnsiTheme="majorHAnsi" w:cstheme="majorHAnsi"/>
              </w:rPr>
              <w:t>7</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2 - Ampliação da relação institucional do Judiciário com a Sociedade</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1</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Pr>
                <w:rFonts w:asciiTheme="majorHAnsi" w:eastAsia="Times New Roman" w:hAnsiTheme="majorHAnsi" w:cstheme="majorHAnsi"/>
              </w:rPr>
              <w:t>2</w:t>
            </w:r>
          </w:p>
        </w:tc>
      </w:tr>
      <w:tr w:rsidR="0087435D" w:rsidRPr="00C77DFB" w:rsidTr="0087435D">
        <w:trPr>
          <w:trHeight w:val="397"/>
        </w:trPr>
        <w:tc>
          <w:tcPr>
            <w:tcW w:w="5879" w:type="dxa"/>
            <w:shd w:val="clear" w:color="auto" w:fill="FBD4B4" w:themeFill="accent6" w:themeFillTint="66"/>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3 - Agilidade e Produtividade na Prestação Jurisdicional</w:t>
            </w:r>
          </w:p>
        </w:tc>
        <w:tc>
          <w:tcPr>
            <w:tcW w:w="907" w:type="dxa"/>
            <w:shd w:val="clear" w:color="auto" w:fill="FBD4B4" w:themeFill="accent6" w:themeFillTint="66"/>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22</w:t>
            </w:r>
          </w:p>
        </w:tc>
        <w:tc>
          <w:tcPr>
            <w:tcW w:w="907" w:type="dxa"/>
            <w:shd w:val="clear" w:color="auto" w:fill="FBD4B4" w:themeFill="accent6" w:themeFillTint="66"/>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23</w:t>
            </w:r>
          </w:p>
        </w:tc>
        <w:tc>
          <w:tcPr>
            <w:tcW w:w="907" w:type="dxa"/>
            <w:shd w:val="clear" w:color="auto" w:fill="FBD4B4" w:themeFill="accent6" w:themeFillTint="66"/>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35</w:t>
            </w:r>
          </w:p>
        </w:tc>
        <w:tc>
          <w:tcPr>
            <w:tcW w:w="907" w:type="dxa"/>
            <w:shd w:val="clear" w:color="auto" w:fill="FBD4B4" w:themeFill="accent6" w:themeFillTint="66"/>
            <w:vAlign w:val="center"/>
          </w:tcPr>
          <w:p w:rsidR="0087435D" w:rsidRPr="000A393F" w:rsidRDefault="0087435D" w:rsidP="0087435D">
            <w:pPr>
              <w:spacing w:after="0" w:line="240" w:lineRule="auto"/>
              <w:ind w:left="57"/>
              <w:jc w:val="center"/>
              <w:rPr>
                <w:rFonts w:asciiTheme="majorHAnsi" w:eastAsia="Times New Roman" w:hAnsiTheme="majorHAnsi" w:cstheme="majorHAnsi"/>
              </w:rPr>
            </w:pPr>
            <w:r w:rsidRPr="000A393F">
              <w:rPr>
                <w:rFonts w:asciiTheme="majorHAnsi" w:eastAsia="Times New Roman" w:hAnsiTheme="majorHAnsi" w:cstheme="majorHAnsi"/>
              </w:rPr>
              <w:t>36</w:t>
            </w:r>
          </w:p>
        </w:tc>
        <w:tc>
          <w:tcPr>
            <w:tcW w:w="908" w:type="dxa"/>
            <w:shd w:val="clear" w:color="auto" w:fill="FBD4B4" w:themeFill="accent6" w:themeFillTint="66"/>
            <w:vAlign w:val="center"/>
          </w:tcPr>
          <w:p w:rsidR="0087435D" w:rsidRPr="005667C4" w:rsidRDefault="0087435D" w:rsidP="0087435D">
            <w:pPr>
              <w:spacing w:after="0" w:line="240" w:lineRule="auto"/>
              <w:ind w:left="57"/>
              <w:jc w:val="center"/>
              <w:rPr>
                <w:rFonts w:asciiTheme="majorHAnsi" w:eastAsia="Times New Roman" w:hAnsiTheme="majorHAnsi" w:cstheme="majorHAnsi"/>
                <w:b/>
                <w:bCs/>
              </w:rPr>
            </w:pPr>
            <w:r w:rsidRPr="005667C4">
              <w:rPr>
                <w:rFonts w:asciiTheme="majorHAnsi" w:eastAsia="Times New Roman" w:hAnsiTheme="majorHAnsi" w:cstheme="majorHAnsi"/>
                <w:b/>
                <w:bCs/>
              </w:rPr>
              <w:t>2</w:t>
            </w:r>
            <w:r>
              <w:rPr>
                <w:rFonts w:asciiTheme="majorHAnsi" w:eastAsia="Times New Roman" w:hAnsiTheme="majorHAnsi" w:cstheme="majorHAnsi"/>
                <w:b/>
                <w:bCs/>
              </w:rPr>
              <w:t>8</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4 - Enfrentamento à Corrupção e à Improbidade Administrativa</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2</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1</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5 - Prevenção de Litígios e Adoção de Soluções Consensuais para os Conflitos</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7</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6</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4</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5</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6 - Consolidação do Sistema de Precedentes Obrigatórios</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4</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4</w:t>
            </w:r>
          </w:p>
        </w:tc>
      </w:tr>
      <w:tr w:rsidR="0087435D" w:rsidRPr="00C77DFB" w:rsidTr="0087435D">
        <w:trPr>
          <w:trHeight w:val="397"/>
        </w:trPr>
        <w:tc>
          <w:tcPr>
            <w:tcW w:w="5879" w:type="dxa"/>
            <w:shd w:val="clear" w:color="auto" w:fill="auto"/>
            <w:noWrap/>
            <w:vAlign w:val="center"/>
            <w:hideMark/>
          </w:tcPr>
          <w:p w:rsidR="0087435D" w:rsidRPr="00C77DFB" w:rsidRDefault="0087435D" w:rsidP="0087435D">
            <w:pPr>
              <w:spacing w:after="0" w:line="240" w:lineRule="auto"/>
              <w:ind w:left="57"/>
              <w:jc w:val="both"/>
              <w:rPr>
                <w:rFonts w:asciiTheme="majorHAnsi" w:eastAsia="Times New Roman" w:hAnsiTheme="majorHAnsi" w:cstheme="majorHAnsi"/>
                <w:color w:val="000000"/>
              </w:rPr>
            </w:pPr>
            <w:r w:rsidRPr="00C77DFB">
              <w:rPr>
                <w:rFonts w:asciiTheme="majorHAnsi" w:eastAsia="Times New Roman" w:hAnsiTheme="majorHAnsi" w:cstheme="majorHAnsi"/>
                <w:color w:val="000000"/>
              </w:rPr>
              <w:t xml:space="preserve">7 - </w:t>
            </w:r>
            <w:proofErr w:type="spellStart"/>
            <w:r w:rsidRPr="00C77DFB">
              <w:rPr>
                <w:rFonts w:asciiTheme="majorHAnsi" w:eastAsia="Times New Roman" w:hAnsiTheme="majorHAnsi" w:cstheme="majorHAnsi"/>
                <w:color w:val="000000"/>
              </w:rPr>
              <w:t>Promoção</w:t>
            </w:r>
            <w:proofErr w:type="spellEnd"/>
            <w:r w:rsidRPr="00C77DFB">
              <w:rPr>
                <w:rFonts w:asciiTheme="majorHAnsi" w:eastAsia="Times New Roman" w:hAnsiTheme="majorHAnsi" w:cstheme="majorHAnsi"/>
                <w:color w:val="000000"/>
              </w:rPr>
              <w:t xml:space="preserve"> da </w:t>
            </w:r>
            <w:proofErr w:type="spellStart"/>
            <w:r w:rsidRPr="00C77DFB">
              <w:rPr>
                <w:rFonts w:asciiTheme="majorHAnsi" w:eastAsia="Times New Roman" w:hAnsiTheme="majorHAnsi" w:cstheme="majorHAnsi"/>
                <w:color w:val="000000"/>
              </w:rPr>
              <w:t>Sustentabilidade</w:t>
            </w:r>
            <w:proofErr w:type="spellEnd"/>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1</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8 - Aperfeiçoamento da Administração do Sistema de Justiça</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8</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2</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9 - Aprimoramento da Gestão Administrativa e da Governança Judiciária</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9</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13</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13</w:t>
            </w:r>
          </w:p>
        </w:tc>
        <w:tc>
          <w:tcPr>
            <w:tcW w:w="907" w:type="dxa"/>
            <w:shd w:val="clear" w:color="auto" w:fill="auto"/>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15</w:t>
            </w:r>
          </w:p>
        </w:tc>
        <w:tc>
          <w:tcPr>
            <w:tcW w:w="908" w:type="dxa"/>
            <w:shd w:val="clear" w:color="auto" w:fill="auto"/>
            <w:vAlign w:val="center"/>
          </w:tcPr>
          <w:p w:rsidR="0087435D" w:rsidRPr="007A70C0" w:rsidRDefault="0087435D" w:rsidP="0087435D">
            <w:pPr>
              <w:spacing w:after="0" w:line="240" w:lineRule="auto"/>
              <w:ind w:left="57"/>
              <w:jc w:val="center"/>
              <w:rPr>
                <w:rFonts w:asciiTheme="majorHAnsi" w:eastAsia="Times New Roman" w:hAnsiTheme="majorHAnsi" w:cstheme="majorHAnsi"/>
              </w:rPr>
            </w:pPr>
            <w:r w:rsidRPr="007A70C0">
              <w:rPr>
                <w:rFonts w:asciiTheme="majorHAnsi" w:eastAsia="Times New Roman" w:hAnsiTheme="majorHAnsi" w:cstheme="majorHAnsi"/>
              </w:rPr>
              <w:t>12</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10 - Otimização da Gestão de Pessoas</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3</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2</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11 - Modernização da Gestão Orçamentária e Financeira</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1</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3</w:t>
            </w:r>
          </w:p>
        </w:tc>
        <w:tc>
          <w:tcPr>
            <w:tcW w:w="907" w:type="dxa"/>
            <w:shd w:val="clear" w:color="auto" w:fill="auto"/>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4</w:t>
            </w:r>
          </w:p>
        </w:tc>
        <w:tc>
          <w:tcPr>
            <w:tcW w:w="908" w:type="dxa"/>
            <w:shd w:val="clear" w:color="auto" w:fill="auto"/>
            <w:vAlign w:val="center"/>
          </w:tcPr>
          <w:p w:rsidR="0087435D" w:rsidRPr="003A1398" w:rsidRDefault="0087435D" w:rsidP="0087435D">
            <w:pPr>
              <w:spacing w:after="0" w:line="240" w:lineRule="auto"/>
              <w:ind w:left="57"/>
              <w:jc w:val="center"/>
              <w:rPr>
                <w:rFonts w:asciiTheme="majorHAnsi" w:eastAsia="Times New Roman" w:hAnsiTheme="majorHAnsi" w:cstheme="majorHAnsi"/>
              </w:rPr>
            </w:pPr>
            <w:r w:rsidRPr="003A1398">
              <w:rPr>
                <w:rFonts w:asciiTheme="majorHAnsi" w:eastAsia="Times New Roman" w:hAnsiTheme="majorHAnsi" w:cstheme="majorHAnsi"/>
              </w:rPr>
              <w:t>3</w:t>
            </w:r>
          </w:p>
        </w:tc>
      </w:tr>
      <w:tr w:rsidR="0087435D" w:rsidRPr="00C77DFB" w:rsidTr="0087435D">
        <w:trPr>
          <w:trHeight w:val="397"/>
        </w:trPr>
        <w:tc>
          <w:tcPr>
            <w:tcW w:w="5879" w:type="dxa"/>
            <w:shd w:val="clear" w:color="auto" w:fill="auto"/>
            <w:noWrap/>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color w:val="000000"/>
                <w:lang w:val="pt-BR"/>
              </w:rPr>
            </w:pPr>
            <w:r w:rsidRPr="0087435D">
              <w:rPr>
                <w:rFonts w:asciiTheme="majorHAnsi" w:eastAsia="Times New Roman" w:hAnsiTheme="majorHAnsi" w:cstheme="majorHAnsi"/>
                <w:color w:val="000000"/>
                <w:lang w:val="pt-BR"/>
              </w:rPr>
              <w:t>12 - Fortalecimento da Estratégia de Tecnologias da Informação e Comunicação - TIC e de Proteção de Dados</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4</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w:t>
            </w:r>
          </w:p>
        </w:tc>
        <w:tc>
          <w:tcPr>
            <w:tcW w:w="907" w:type="dxa"/>
            <w:shd w:val="clear" w:color="auto" w:fill="auto"/>
            <w:noWrap/>
            <w:vAlign w:val="center"/>
            <w:hideMark/>
          </w:tcPr>
          <w:p w:rsidR="0087435D" w:rsidRPr="005667C4" w:rsidRDefault="0087435D" w:rsidP="0087435D">
            <w:pPr>
              <w:spacing w:after="0" w:line="240" w:lineRule="auto"/>
              <w:ind w:left="57"/>
              <w:jc w:val="center"/>
              <w:rPr>
                <w:rFonts w:asciiTheme="majorHAnsi" w:eastAsia="Times New Roman" w:hAnsiTheme="majorHAnsi" w:cstheme="majorHAnsi"/>
                <w:color w:val="000000"/>
              </w:rPr>
            </w:pPr>
            <w:r w:rsidRPr="005667C4">
              <w:rPr>
                <w:rFonts w:asciiTheme="majorHAnsi" w:eastAsia="Times New Roman" w:hAnsiTheme="majorHAnsi" w:cstheme="majorHAnsi"/>
                <w:color w:val="000000"/>
              </w:rPr>
              <w:t>2</w:t>
            </w:r>
          </w:p>
        </w:tc>
        <w:tc>
          <w:tcPr>
            <w:tcW w:w="907"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2</w:t>
            </w:r>
          </w:p>
        </w:tc>
        <w:tc>
          <w:tcPr>
            <w:tcW w:w="908" w:type="dxa"/>
            <w:vAlign w:val="center"/>
          </w:tcPr>
          <w:p w:rsidR="0087435D" w:rsidRPr="005667C4" w:rsidRDefault="0087435D" w:rsidP="0087435D">
            <w:pPr>
              <w:spacing w:after="0" w:line="240" w:lineRule="auto"/>
              <w:ind w:left="57"/>
              <w:jc w:val="center"/>
              <w:rPr>
                <w:rFonts w:asciiTheme="majorHAnsi" w:eastAsia="Times New Roman" w:hAnsiTheme="majorHAnsi" w:cstheme="majorHAnsi"/>
              </w:rPr>
            </w:pPr>
            <w:r w:rsidRPr="005667C4">
              <w:rPr>
                <w:rFonts w:asciiTheme="majorHAnsi" w:eastAsia="Times New Roman" w:hAnsiTheme="majorHAnsi" w:cstheme="majorHAnsi"/>
              </w:rPr>
              <w:t>-</w:t>
            </w:r>
          </w:p>
        </w:tc>
      </w:tr>
      <w:tr w:rsidR="0087435D" w:rsidRPr="00C77DFB" w:rsidTr="0087435D">
        <w:trPr>
          <w:trHeight w:val="454"/>
        </w:trPr>
        <w:tc>
          <w:tcPr>
            <w:tcW w:w="5879" w:type="dxa"/>
            <w:shd w:val="clear" w:color="auto" w:fill="595959" w:themeFill="text1" w:themeFillTint="A6"/>
            <w:noWrap/>
            <w:vAlign w:val="center"/>
            <w:hideMark/>
          </w:tcPr>
          <w:p w:rsidR="0087435D" w:rsidRPr="00C77DFB" w:rsidRDefault="0087435D" w:rsidP="0087435D">
            <w:pPr>
              <w:spacing w:after="0" w:line="240" w:lineRule="auto"/>
              <w:ind w:left="57"/>
              <w:jc w:val="both"/>
              <w:rPr>
                <w:rFonts w:asciiTheme="majorHAnsi" w:eastAsia="Times New Roman" w:hAnsiTheme="majorHAnsi" w:cstheme="majorHAnsi"/>
                <w:b/>
                <w:bCs/>
                <w:color w:val="FFFFFF" w:themeColor="background1"/>
                <w:sz w:val="24"/>
                <w:szCs w:val="24"/>
              </w:rPr>
            </w:pPr>
            <w:r w:rsidRPr="00C77DFB">
              <w:rPr>
                <w:rFonts w:asciiTheme="majorHAnsi" w:eastAsia="Times New Roman" w:hAnsiTheme="majorHAnsi" w:cstheme="majorHAnsi"/>
                <w:b/>
                <w:bCs/>
                <w:color w:val="FFFFFF" w:themeColor="background1"/>
                <w:sz w:val="24"/>
                <w:szCs w:val="24"/>
              </w:rPr>
              <w:t xml:space="preserve">Total </w:t>
            </w:r>
            <w:proofErr w:type="spellStart"/>
            <w:r w:rsidRPr="00C77DFB">
              <w:rPr>
                <w:rFonts w:asciiTheme="majorHAnsi" w:eastAsia="Times New Roman" w:hAnsiTheme="majorHAnsi" w:cstheme="majorHAnsi"/>
                <w:b/>
                <w:bCs/>
                <w:color w:val="FFFFFF" w:themeColor="background1"/>
                <w:sz w:val="24"/>
                <w:szCs w:val="24"/>
              </w:rPr>
              <w:t>Geral</w:t>
            </w:r>
            <w:proofErr w:type="spellEnd"/>
          </w:p>
        </w:tc>
        <w:tc>
          <w:tcPr>
            <w:tcW w:w="907" w:type="dxa"/>
            <w:shd w:val="clear" w:color="auto" w:fill="595959" w:themeFill="text1" w:themeFillTint="A6"/>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rPr>
            </w:pPr>
            <w:r w:rsidRPr="00C77DFB">
              <w:rPr>
                <w:rFonts w:asciiTheme="majorHAnsi" w:eastAsia="Times New Roman" w:hAnsiTheme="majorHAnsi" w:cstheme="majorHAnsi"/>
                <w:b/>
                <w:bCs/>
                <w:color w:val="FFFFFF" w:themeColor="background1"/>
                <w:sz w:val="24"/>
                <w:szCs w:val="24"/>
              </w:rPr>
              <w:t>66</w:t>
            </w:r>
          </w:p>
        </w:tc>
        <w:tc>
          <w:tcPr>
            <w:tcW w:w="907" w:type="dxa"/>
            <w:shd w:val="clear" w:color="auto" w:fill="595959" w:themeFill="text1" w:themeFillTint="A6"/>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rPr>
            </w:pPr>
            <w:r w:rsidRPr="00C77DFB">
              <w:rPr>
                <w:rFonts w:asciiTheme="majorHAnsi" w:eastAsia="Times New Roman" w:hAnsiTheme="majorHAnsi" w:cstheme="majorHAnsi"/>
                <w:b/>
                <w:bCs/>
                <w:color w:val="FFFFFF" w:themeColor="background1"/>
                <w:sz w:val="24"/>
                <w:szCs w:val="24"/>
              </w:rPr>
              <w:t>69</w:t>
            </w:r>
          </w:p>
        </w:tc>
        <w:tc>
          <w:tcPr>
            <w:tcW w:w="907" w:type="dxa"/>
            <w:shd w:val="clear" w:color="auto" w:fill="595959" w:themeFill="text1" w:themeFillTint="A6"/>
            <w:noWrap/>
            <w:vAlign w:val="center"/>
            <w:hideMark/>
          </w:tcPr>
          <w:p w:rsidR="0087435D" w:rsidRPr="00C77DFB"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rPr>
            </w:pPr>
            <w:r w:rsidRPr="00C77DFB">
              <w:rPr>
                <w:rFonts w:asciiTheme="majorHAnsi" w:eastAsia="Times New Roman" w:hAnsiTheme="majorHAnsi" w:cstheme="majorHAnsi"/>
                <w:b/>
                <w:bCs/>
                <w:color w:val="FFFFFF" w:themeColor="background1"/>
                <w:sz w:val="24"/>
                <w:szCs w:val="24"/>
              </w:rPr>
              <w:t>76</w:t>
            </w:r>
          </w:p>
        </w:tc>
        <w:tc>
          <w:tcPr>
            <w:tcW w:w="907" w:type="dxa"/>
            <w:shd w:val="clear" w:color="auto" w:fill="595959" w:themeFill="text1" w:themeFillTint="A6"/>
            <w:vAlign w:val="center"/>
          </w:tcPr>
          <w:p w:rsidR="0087435D" w:rsidRPr="00524CFA"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rPr>
            </w:pPr>
            <w:r w:rsidRPr="00524CFA">
              <w:rPr>
                <w:rFonts w:asciiTheme="majorHAnsi" w:eastAsia="Times New Roman" w:hAnsiTheme="majorHAnsi" w:cstheme="majorHAnsi"/>
                <w:b/>
                <w:bCs/>
                <w:color w:val="FFFFFF" w:themeColor="background1"/>
                <w:sz w:val="24"/>
                <w:szCs w:val="24"/>
              </w:rPr>
              <w:t>83</w:t>
            </w:r>
          </w:p>
        </w:tc>
        <w:tc>
          <w:tcPr>
            <w:tcW w:w="908" w:type="dxa"/>
            <w:shd w:val="clear" w:color="auto" w:fill="595959" w:themeFill="text1" w:themeFillTint="A6"/>
            <w:vAlign w:val="center"/>
          </w:tcPr>
          <w:p w:rsidR="0087435D" w:rsidRPr="00524CFA" w:rsidRDefault="0087435D" w:rsidP="0087435D">
            <w:pPr>
              <w:spacing w:after="0" w:line="240" w:lineRule="auto"/>
              <w:ind w:left="57"/>
              <w:jc w:val="center"/>
              <w:rPr>
                <w:rFonts w:asciiTheme="majorHAnsi" w:eastAsia="Times New Roman" w:hAnsiTheme="majorHAnsi" w:cstheme="majorHAnsi"/>
                <w:b/>
                <w:bCs/>
                <w:color w:val="FFFFFF" w:themeColor="background1"/>
                <w:sz w:val="24"/>
                <w:szCs w:val="24"/>
              </w:rPr>
            </w:pPr>
            <w:r>
              <w:rPr>
                <w:rFonts w:asciiTheme="majorHAnsi" w:eastAsia="Times New Roman" w:hAnsiTheme="majorHAnsi" w:cstheme="majorHAnsi"/>
                <w:b/>
                <w:bCs/>
                <w:color w:val="FFFFFF" w:themeColor="background1"/>
                <w:sz w:val="24"/>
                <w:szCs w:val="24"/>
              </w:rPr>
              <w:t>64</w:t>
            </w:r>
          </w:p>
        </w:tc>
      </w:tr>
    </w:tbl>
    <w:p w:rsidR="0087435D" w:rsidRDefault="0087435D" w:rsidP="0087435D">
      <w:pPr>
        <w:spacing w:line="240" w:lineRule="auto"/>
        <w:ind w:left="57"/>
        <w:jc w:val="both"/>
        <w:rPr>
          <w:rFonts w:asciiTheme="majorHAnsi" w:hAnsiTheme="majorHAnsi" w:cstheme="majorHAnsi"/>
          <w:color w:val="548DD4" w:themeColor="text2" w:themeTint="99"/>
        </w:rPr>
      </w:pPr>
      <w:r w:rsidRPr="00F7543D">
        <w:rPr>
          <w:rFonts w:asciiTheme="majorHAnsi" w:hAnsiTheme="majorHAnsi" w:cstheme="majorHAnsi"/>
        </w:rPr>
        <w:t xml:space="preserve"> </w:t>
      </w:r>
    </w:p>
    <w:p w:rsidR="0087435D" w:rsidRPr="001F63B9" w:rsidRDefault="0087435D" w:rsidP="0087435D">
      <w:pPr>
        <w:pStyle w:val="PargrafodaLista"/>
        <w:numPr>
          <w:ilvl w:val="0"/>
          <w:numId w:val="10"/>
        </w:numPr>
        <w:spacing w:after="0"/>
        <w:outlineLvl w:val="0"/>
        <w:rPr>
          <w:rFonts w:asciiTheme="majorHAnsi" w:eastAsia="Times New Roman" w:hAnsiTheme="majorHAnsi" w:cstheme="majorHAnsi"/>
          <w:b/>
          <w:bCs/>
          <w:color w:val="E36C0A" w:themeColor="accent6" w:themeShade="BF"/>
          <w:sz w:val="28"/>
          <w:szCs w:val="28"/>
        </w:rPr>
      </w:pPr>
      <w:bookmarkStart w:id="12" w:name="_Toc210312226"/>
      <w:bookmarkStart w:id="13" w:name="_Toc210662693"/>
      <w:bookmarkStart w:id="14" w:name="_Toc223442906"/>
      <w:r w:rsidRPr="008369C5">
        <w:rPr>
          <w:noProof/>
          <w:sz w:val="24"/>
          <w:szCs w:val="24"/>
        </w:rPr>
        <w:drawing>
          <wp:anchor distT="114300" distB="114300" distL="114300" distR="114300" simplePos="0" relativeHeight="251566592" behindDoc="0" locked="0" layoutInCell="1" hidden="0" allowOverlap="1" wp14:anchorId="388BC743" wp14:editId="65682EA7">
            <wp:simplePos x="0" y="0"/>
            <wp:positionH relativeFrom="page">
              <wp:posOffset>0</wp:posOffset>
            </wp:positionH>
            <wp:positionV relativeFrom="page">
              <wp:posOffset>10776815</wp:posOffset>
            </wp:positionV>
            <wp:extent cx="7577138" cy="10706825"/>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sidRPr="008369C5">
        <w:rPr>
          <w:noProof/>
          <w:sz w:val="24"/>
          <w:szCs w:val="24"/>
        </w:rPr>
        <w:drawing>
          <wp:anchor distT="114300" distB="114300" distL="114300" distR="114300" simplePos="0" relativeHeight="251569664" behindDoc="0" locked="0" layoutInCell="1" hidden="0" allowOverlap="1" wp14:anchorId="68D2B7EC" wp14:editId="76E6D137">
            <wp:simplePos x="0" y="0"/>
            <wp:positionH relativeFrom="page">
              <wp:posOffset>0</wp:posOffset>
            </wp:positionH>
            <wp:positionV relativeFrom="page">
              <wp:posOffset>10776815</wp:posOffset>
            </wp:positionV>
            <wp:extent cx="7577138" cy="10706825"/>
            <wp:effectExtent l="0" t="0" r="0" b="0"/>
            <wp:wrapNone/>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577138" cy="10706825"/>
                    </a:xfrm>
                    <a:prstGeom prst="rect">
                      <a:avLst/>
                    </a:prstGeom>
                    <a:ln/>
                  </pic:spPr>
                </pic:pic>
              </a:graphicData>
            </a:graphic>
          </wp:anchor>
        </w:drawing>
      </w:r>
      <w:r>
        <w:rPr>
          <w:rFonts w:asciiTheme="majorHAnsi" w:eastAsia="Times New Roman" w:hAnsiTheme="majorHAnsi" w:cstheme="majorHAnsi"/>
          <w:b/>
          <w:bCs/>
          <w:color w:val="E36C0A" w:themeColor="accent6" w:themeShade="BF"/>
          <w:sz w:val="28"/>
          <w:szCs w:val="28"/>
        </w:rPr>
        <w:t>RESULTADOS ALCANÇADOS</w:t>
      </w:r>
      <w:bookmarkEnd w:id="12"/>
      <w:bookmarkEnd w:id="13"/>
      <w:bookmarkEnd w:id="14"/>
    </w:p>
    <w:p w:rsidR="0087435D" w:rsidRDefault="0087435D" w:rsidP="0087435D">
      <w:pPr>
        <w:pStyle w:val="textojustificadorecuoprimeiralinha"/>
        <w:spacing w:before="0" w:beforeAutospacing="0" w:after="0" w:afterAutospacing="0" w:line="360" w:lineRule="auto"/>
        <w:ind w:firstLine="720"/>
        <w:jc w:val="both"/>
        <w:rPr>
          <w:rFonts w:asciiTheme="majorHAnsi" w:hAnsiTheme="majorHAnsi" w:cstheme="majorHAnsi"/>
        </w:rPr>
      </w:pPr>
    </w:p>
    <w:p w:rsidR="0087435D" w:rsidRPr="003A1398" w:rsidRDefault="0087435D" w:rsidP="0087435D">
      <w:pPr>
        <w:pStyle w:val="textojustificadorecuoprimeiralinha"/>
        <w:spacing w:before="0" w:beforeAutospacing="0" w:after="200" w:afterAutospacing="0" w:line="360" w:lineRule="auto"/>
        <w:ind w:firstLine="720"/>
        <w:jc w:val="both"/>
        <w:rPr>
          <w:rFonts w:asciiTheme="majorHAnsi" w:hAnsiTheme="majorHAnsi" w:cstheme="majorHAnsi"/>
        </w:rPr>
      </w:pPr>
      <w:r w:rsidRPr="003A1398">
        <w:rPr>
          <w:rFonts w:asciiTheme="majorHAnsi" w:hAnsiTheme="majorHAnsi" w:cstheme="majorHAnsi"/>
        </w:rPr>
        <w:t xml:space="preserve">Do </w:t>
      </w:r>
      <w:r w:rsidRPr="003A1398">
        <w:rPr>
          <w:rFonts w:asciiTheme="majorHAnsi" w:hAnsiTheme="majorHAnsi" w:cstheme="majorHAnsi"/>
          <w:b/>
          <w:bCs/>
        </w:rPr>
        <w:t xml:space="preserve">total de 64 metas nacionais ou institucionais </w:t>
      </w:r>
      <w:r w:rsidRPr="003A1398">
        <w:rPr>
          <w:rFonts w:asciiTheme="majorHAnsi" w:hAnsiTheme="majorHAnsi" w:cstheme="majorHAnsi"/>
        </w:rPr>
        <w:t xml:space="preserve">aprovadas comporem o Planejamento Estratégico em 2025, </w:t>
      </w:r>
      <w:r w:rsidRPr="003A1398">
        <w:rPr>
          <w:rFonts w:asciiTheme="majorHAnsi" w:hAnsiTheme="majorHAnsi" w:cstheme="majorHAnsi"/>
          <w:b/>
          <w:bCs/>
        </w:rPr>
        <w:t>31 metas (48%)</w:t>
      </w:r>
      <w:r w:rsidRPr="003A1398">
        <w:rPr>
          <w:rFonts w:asciiTheme="majorHAnsi" w:hAnsiTheme="majorHAnsi" w:cstheme="majorHAnsi"/>
        </w:rPr>
        <w:t xml:space="preserve"> tiveram </w:t>
      </w:r>
      <w:r w:rsidRPr="003A1398">
        <w:rPr>
          <w:rFonts w:asciiTheme="majorHAnsi" w:hAnsiTheme="majorHAnsi" w:cstheme="majorHAnsi"/>
          <w:b/>
          <w:bCs/>
        </w:rPr>
        <w:t>resultado maior ou igual a 100%;</w:t>
      </w:r>
      <w:r w:rsidRPr="003A1398">
        <w:rPr>
          <w:rFonts w:asciiTheme="majorHAnsi" w:hAnsiTheme="majorHAnsi" w:cstheme="majorHAnsi"/>
        </w:rPr>
        <w:t xml:space="preserve"> </w:t>
      </w:r>
      <w:r w:rsidRPr="003A1398">
        <w:rPr>
          <w:rFonts w:asciiTheme="majorHAnsi" w:hAnsiTheme="majorHAnsi" w:cstheme="majorHAnsi"/>
          <w:b/>
          <w:bCs/>
        </w:rPr>
        <w:t>21 metas (33%)</w:t>
      </w:r>
      <w:r w:rsidRPr="003A1398">
        <w:rPr>
          <w:rFonts w:asciiTheme="majorHAnsi" w:hAnsiTheme="majorHAnsi" w:cstheme="majorHAnsi"/>
        </w:rPr>
        <w:t xml:space="preserve"> </w:t>
      </w:r>
      <w:r w:rsidRPr="003A1398">
        <w:rPr>
          <w:rFonts w:asciiTheme="majorHAnsi" w:hAnsiTheme="majorHAnsi" w:cstheme="majorHAnsi"/>
          <w:b/>
          <w:bCs/>
        </w:rPr>
        <w:t>alcançaram pelo menos 70%</w:t>
      </w:r>
      <w:r w:rsidRPr="003A1398">
        <w:rPr>
          <w:rFonts w:asciiTheme="majorHAnsi" w:hAnsiTheme="majorHAnsi" w:cstheme="majorHAnsi"/>
        </w:rPr>
        <w:t xml:space="preserve"> do percentual estabelecido para 2025 e </w:t>
      </w:r>
      <w:r w:rsidRPr="003A1398">
        <w:rPr>
          <w:rFonts w:asciiTheme="majorHAnsi" w:hAnsiTheme="majorHAnsi" w:cstheme="majorHAnsi"/>
          <w:b/>
          <w:bCs/>
        </w:rPr>
        <w:t>12 metas (19%)</w:t>
      </w:r>
      <w:r w:rsidRPr="003A1398">
        <w:rPr>
          <w:rFonts w:asciiTheme="majorHAnsi" w:hAnsiTheme="majorHAnsi" w:cstheme="majorHAnsi"/>
        </w:rPr>
        <w:t xml:space="preserve"> obtiveram </w:t>
      </w:r>
      <w:r w:rsidRPr="003A1398">
        <w:rPr>
          <w:rFonts w:asciiTheme="majorHAnsi" w:hAnsiTheme="majorHAnsi" w:cstheme="majorHAnsi"/>
          <w:b/>
          <w:bCs/>
        </w:rPr>
        <w:t>resultado inferior a 70%.</w:t>
      </w:r>
    </w:p>
    <w:p w:rsidR="0087435D" w:rsidRPr="0087435D" w:rsidRDefault="0087435D" w:rsidP="0087435D">
      <w:pPr>
        <w:rPr>
          <w:rFonts w:asciiTheme="majorHAnsi" w:eastAsia="Times New Roman" w:hAnsiTheme="majorHAnsi" w:cstheme="majorHAnsi"/>
          <w:sz w:val="24"/>
          <w:szCs w:val="24"/>
          <w:lang w:val="pt-BR"/>
        </w:rPr>
      </w:pPr>
      <w:r w:rsidRPr="0087435D">
        <w:rPr>
          <w:rFonts w:asciiTheme="majorHAnsi" w:hAnsiTheme="majorHAnsi" w:cstheme="majorHAnsi"/>
          <w:lang w:val="pt-BR"/>
        </w:rPr>
        <w:br w:type="page"/>
      </w:r>
    </w:p>
    <w:tbl>
      <w:tblPr>
        <w:tblW w:w="8379" w:type="dxa"/>
        <w:tblInd w:w="658" w:type="dxa"/>
        <w:tblCellMar>
          <w:left w:w="0" w:type="dxa"/>
          <w:right w:w="0" w:type="dxa"/>
        </w:tblCellMar>
        <w:tblLook w:val="0600" w:firstRow="0" w:lastRow="0" w:firstColumn="0" w:lastColumn="0" w:noHBand="1" w:noVBand="1"/>
      </w:tblPr>
      <w:tblGrid>
        <w:gridCol w:w="4551"/>
        <w:gridCol w:w="1560"/>
        <w:gridCol w:w="2268"/>
      </w:tblGrid>
      <w:tr w:rsidR="0087435D" w:rsidRPr="0087435D" w:rsidTr="0087435D">
        <w:trPr>
          <w:trHeight w:val="397"/>
        </w:trPr>
        <w:tc>
          <w:tcPr>
            <w:tcW w:w="8379" w:type="dxa"/>
            <w:gridSpan w:val="3"/>
            <w:tcBorders>
              <w:top w:val="single" w:sz="8" w:space="0" w:color="C55A11"/>
              <w:left w:val="single" w:sz="8" w:space="0" w:color="C55A11"/>
              <w:bottom w:val="single" w:sz="8" w:space="0" w:color="C55A11"/>
              <w:right w:val="single" w:sz="8" w:space="0" w:color="C55A11"/>
            </w:tcBorders>
            <w:shd w:val="clear" w:color="auto" w:fill="E77619"/>
            <w:tcMar>
              <w:top w:w="15" w:type="dxa"/>
              <w:left w:w="15" w:type="dxa"/>
              <w:bottom w:w="0" w:type="dxa"/>
              <w:right w:w="15" w:type="dxa"/>
            </w:tcMar>
            <w:vAlign w:val="center"/>
            <w:hideMark/>
          </w:tcPr>
          <w:p w:rsidR="0087435D" w:rsidRPr="0087435D" w:rsidRDefault="0087435D" w:rsidP="0087435D">
            <w:pPr>
              <w:spacing w:after="0" w:line="240" w:lineRule="auto"/>
              <w:ind w:left="57"/>
              <w:jc w:val="center"/>
              <w:rPr>
                <w:rFonts w:asciiTheme="majorHAnsi" w:eastAsia="Times New Roman" w:hAnsiTheme="majorHAnsi" w:cstheme="majorHAnsi"/>
                <w:color w:val="FFFFFF" w:themeColor="background1"/>
                <w:szCs w:val="24"/>
                <w:lang w:val="pt-BR"/>
              </w:rPr>
            </w:pPr>
            <w:r w:rsidRPr="0087435D">
              <w:rPr>
                <w:rFonts w:asciiTheme="majorHAnsi" w:eastAsia="Calibri" w:hAnsiTheme="majorHAnsi" w:cstheme="majorHAnsi"/>
                <w:b/>
                <w:bCs/>
                <w:color w:val="FFFFFF" w:themeColor="background1"/>
                <w:szCs w:val="24"/>
                <w:lang w:val="pt-BR"/>
              </w:rPr>
              <w:lastRenderedPageBreak/>
              <w:t>RESULTADO DO MONITORAMENTO DAS METAS ESTRATÉGICAS</w:t>
            </w:r>
          </w:p>
        </w:tc>
      </w:tr>
      <w:tr w:rsidR="0087435D" w:rsidRPr="00AD5D09" w:rsidTr="0087435D">
        <w:trPr>
          <w:trHeight w:val="567"/>
        </w:trPr>
        <w:tc>
          <w:tcPr>
            <w:tcW w:w="4551"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szCs w:val="24"/>
                <w:lang w:val="pt-BR"/>
              </w:rPr>
            </w:pPr>
            <w:r w:rsidRPr="0087435D">
              <w:rPr>
                <w:rFonts w:asciiTheme="majorHAnsi" w:eastAsia="Calibri" w:hAnsiTheme="majorHAnsi" w:cstheme="majorHAnsi"/>
                <w:szCs w:val="24"/>
                <w:lang w:val="pt-BR"/>
              </w:rPr>
              <w:t>Metas com resultado maior ou igual 100%</w:t>
            </w:r>
          </w:p>
        </w:tc>
        <w:tc>
          <w:tcPr>
            <w:tcW w:w="1560"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31</w:t>
            </w:r>
          </w:p>
        </w:tc>
        <w:tc>
          <w:tcPr>
            <w:tcW w:w="2268"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48%</w:t>
            </w:r>
          </w:p>
        </w:tc>
      </w:tr>
      <w:tr w:rsidR="0087435D" w:rsidRPr="00AD5D09" w:rsidTr="0087435D">
        <w:trPr>
          <w:trHeight w:val="567"/>
        </w:trPr>
        <w:tc>
          <w:tcPr>
            <w:tcW w:w="4551" w:type="dxa"/>
            <w:tcBorders>
              <w:top w:val="single" w:sz="8" w:space="0" w:color="C55A11"/>
              <w:left w:val="single" w:sz="8" w:space="0" w:color="C55A11"/>
              <w:bottom w:val="single" w:sz="8" w:space="0" w:color="C55A11"/>
              <w:right w:val="single" w:sz="8" w:space="0" w:color="C55A11"/>
            </w:tcBorders>
            <w:shd w:val="clear" w:color="auto" w:fill="FFFFFF" w:themeFill="background1"/>
            <w:tcMar>
              <w:top w:w="15" w:type="dxa"/>
              <w:left w:w="15" w:type="dxa"/>
              <w:bottom w:w="0" w:type="dxa"/>
              <w:right w:w="15" w:type="dxa"/>
            </w:tcMar>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szCs w:val="24"/>
                <w:lang w:val="pt-BR"/>
              </w:rPr>
            </w:pPr>
            <w:r w:rsidRPr="0087435D">
              <w:rPr>
                <w:rFonts w:asciiTheme="majorHAnsi" w:eastAsia="Calibri" w:hAnsiTheme="majorHAnsi" w:cstheme="majorHAnsi"/>
                <w:szCs w:val="24"/>
                <w:lang w:val="pt-BR"/>
              </w:rPr>
              <w:t>Metas com resultado entre 70% e 100%</w:t>
            </w:r>
          </w:p>
        </w:tc>
        <w:tc>
          <w:tcPr>
            <w:tcW w:w="1560" w:type="dxa"/>
            <w:tcBorders>
              <w:top w:val="single" w:sz="8" w:space="0" w:color="C55A11"/>
              <w:left w:val="single" w:sz="8" w:space="0" w:color="C55A11"/>
              <w:bottom w:val="single" w:sz="8" w:space="0" w:color="C55A11"/>
              <w:right w:val="single" w:sz="8" w:space="0" w:color="C55A11"/>
            </w:tcBorders>
            <w:shd w:val="clear" w:color="auto" w:fill="FFFFFF" w:themeFill="background1"/>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21</w:t>
            </w:r>
          </w:p>
        </w:tc>
        <w:tc>
          <w:tcPr>
            <w:tcW w:w="2268" w:type="dxa"/>
            <w:tcBorders>
              <w:top w:val="single" w:sz="8" w:space="0" w:color="C55A11"/>
              <w:left w:val="single" w:sz="8" w:space="0" w:color="C55A11"/>
              <w:bottom w:val="single" w:sz="8" w:space="0" w:color="C55A11"/>
              <w:right w:val="single" w:sz="8" w:space="0" w:color="C55A11"/>
            </w:tcBorders>
            <w:shd w:val="clear" w:color="auto" w:fill="FFFFFF" w:themeFill="background1"/>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33%</w:t>
            </w:r>
          </w:p>
        </w:tc>
      </w:tr>
      <w:tr w:rsidR="0087435D" w:rsidRPr="00AD5D09" w:rsidTr="0087435D">
        <w:trPr>
          <w:trHeight w:val="567"/>
        </w:trPr>
        <w:tc>
          <w:tcPr>
            <w:tcW w:w="4551"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hideMark/>
          </w:tcPr>
          <w:p w:rsidR="0087435D" w:rsidRPr="0087435D" w:rsidRDefault="0087435D" w:rsidP="0087435D">
            <w:pPr>
              <w:spacing w:after="0" w:line="240" w:lineRule="auto"/>
              <w:ind w:left="57"/>
              <w:jc w:val="both"/>
              <w:rPr>
                <w:rFonts w:asciiTheme="majorHAnsi" w:eastAsia="Times New Roman" w:hAnsiTheme="majorHAnsi" w:cstheme="majorHAnsi"/>
                <w:szCs w:val="24"/>
                <w:lang w:val="pt-BR"/>
              </w:rPr>
            </w:pPr>
            <w:r w:rsidRPr="0087435D">
              <w:rPr>
                <w:rFonts w:asciiTheme="majorHAnsi" w:eastAsia="Calibri" w:hAnsiTheme="majorHAnsi" w:cstheme="majorHAnsi"/>
                <w:szCs w:val="24"/>
                <w:lang w:val="pt-BR"/>
              </w:rPr>
              <w:t>Metas com resultado abaixo de 70%</w:t>
            </w:r>
          </w:p>
        </w:tc>
        <w:tc>
          <w:tcPr>
            <w:tcW w:w="1560"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12</w:t>
            </w:r>
          </w:p>
        </w:tc>
        <w:tc>
          <w:tcPr>
            <w:tcW w:w="2268" w:type="dxa"/>
            <w:tcBorders>
              <w:top w:val="single" w:sz="8" w:space="0" w:color="C55A11"/>
              <w:left w:val="single" w:sz="8" w:space="0" w:color="C55A11"/>
              <w:bottom w:val="single" w:sz="8" w:space="0" w:color="C55A11"/>
              <w:right w:val="single" w:sz="8" w:space="0" w:color="C55A11"/>
            </w:tcBorders>
            <w:shd w:val="clear" w:color="auto" w:fill="D9D9D9" w:themeFill="background1" w:themeFillShade="D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szCs w:val="24"/>
              </w:rPr>
            </w:pPr>
            <w:r>
              <w:rPr>
                <w:rFonts w:asciiTheme="majorHAnsi" w:eastAsia="Times New Roman" w:hAnsiTheme="majorHAnsi" w:cstheme="majorHAnsi"/>
                <w:b/>
                <w:bCs/>
                <w:szCs w:val="24"/>
              </w:rPr>
              <w:t>19%</w:t>
            </w:r>
          </w:p>
        </w:tc>
      </w:tr>
      <w:tr w:rsidR="0087435D" w:rsidRPr="00AD5D09" w:rsidTr="0087435D">
        <w:trPr>
          <w:trHeight w:val="397"/>
        </w:trPr>
        <w:tc>
          <w:tcPr>
            <w:tcW w:w="4551" w:type="dxa"/>
            <w:tcBorders>
              <w:top w:val="single" w:sz="8" w:space="0" w:color="C55A11"/>
              <w:left w:val="single" w:sz="8" w:space="0" w:color="404040"/>
              <w:bottom w:val="single" w:sz="8" w:space="0" w:color="404040"/>
              <w:right w:val="single" w:sz="8" w:space="0" w:color="404040"/>
            </w:tcBorders>
            <w:shd w:val="clear" w:color="auto" w:fill="595959"/>
            <w:tcMar>
              <w:top w:w="15" w:type="dxa"/>
              <w:left w:w="15" w:type="dxa"/>
              <w:bottom w:w="0" w:type="dxa"/>
              <w:right w:w="15" w:type="dxa"/>
            </w:tcMar>
            <w:vAlign w:val="center"/>
            <w:hideMark/>
          </w:tcPr>
          <w:p w:rsidR="0087435D" w:rsidRPr="00AD5D09" w:rsidRDefault="0087435D" w:rsidP="0087435D">
            <w:pPr>
              <w:spacing w:after="0" w:line="240" w:lineRule="auto"/>
              <w:ind w:left="57"/>
              <w:jc w:val="both"/>
              <w:rPr>
                <w:rFonts w:asciiTheme="majorHAnsi" w:eastAsia="Times New Roman" w:hAnsiTheme="majorHAnsi" w:cstheme="majorHAnsi"/>
                <w:color w:val="FFFFFF" w:themeColor="background1"/>
                <w:szCs w:val="24"/>
              </w:rPr>
            </w:pPr>
            <w:r w:rsidRPr="00AD5D09">
              <w:rPr>
                <w:rFonts w:asciiTheme="majorHAnsi" w:eastAsia="Calibri" w:hAnsiTheme="majorHAnsi" w:cstheme="majorHAnsi"/>
                <w:b/>
                <w:bCs/>
                <w:color w:val="FFFFFF" w:themeColor="background1"/>
                <w:szCs w:val="24"/>
              </w:rPr>
              <w:t>Total</w:t>
            </w:r>
          </w:p>
        </w:tc>
        <w:tc>
          <w:tcPr>
            <w:tcW w:w="1560" w:type="dxa"/>
            <w:tcBorders>
              <w:top w:val="single" w:sz="8" w:space="0" w:color="C55A11"/>
              <w:left w:val="single" w:sz="8" w:space="0" w:color="404040"/>
              <w:bottom w:val="single" w:sz="8" w:space="0" w:color="404040"/>
              <w:right w:val="single" w:sz="8" w:space="0" w:color="404040"/>
            </w:tcBorders>
            <w:shd w:val="clear" w:color="auto" w:fill="59595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Pr>
                <w:rFonts w:asciiTheme="majorHAnsi" w:eastAsia="Times New Roman" w:hAnsiTheme="majorHAnsi" w:cstheme="majorHAnsi"/>
                <w:b/>
                <w:bCs/>
                <w:color w:val="FFFFFF" w:themeColor="background1"/>
                <w:szCs w:val="24"/>
              </w:rPr>
              <w:t>64</w:t>
            </w:r>
          </w:p>
        </w:tc>
        <w:tc>
          <w:tcPr>
            <w:tcW w:w="2268" w:type="dxa"/>
            <w:tcBorders>
              <w:top w:val="single" w:sz="8" w:space="0" w:color="C55A11"/>
              <w:left w:val="single" w:sz="8" w:space="0" w:color="404040"/>
              <w:bottom w:val="single" w:sz="8" w:space="0" w:color="404040"/>
              <w:right w:val="single" w:sz="8" w:space="0" w:color="404040"/>
            </w:tcBorders>
            <w:shd w:val="clear" w:color="auto" w:fill="595959"/>
            <w:tcMar>
              <w:top w:w="15" w:type="dxa"/>
              <w:left w:w="15" w:type="dxa"/>
              <w:bottom w:w="0" w:type="dxa"/>
              <w:right w:w="15" w:type="dxa"/>
            </w:tcMar>
            <w:vAlign w:val="center"/>
          </w:tcPr>
          <w:p w:rsidR="0087435D" w:rsidRPr="00953F39" w:rsidRDefault="0087435D" w:rsidP="0087435D">
            <w:pPr>
              <w:spacing w:after="0" w:line="240" w:lineRule="auto"/>
              <w:ind w:left="57"/>
              <w:jc w:val="center"/>
              <w:rPr>
                <w:rFonts w:asciiTheme="majorHAnsi" w:eastAsia="Times New Roman" w:hAnsiTheme="majorHAnsi" w:cstheme="majorHAnsi"/>
                <w:b/>
                <w:bCs/>
                <w:color w:val="FFFFFF" w:themeColor="background1"/>
                <w:szCs w:val="24"/>
              </w:rPr>
            </w:pPr>
            <w:r>
              <w:rPr>
                <w:rFonts w:asciiTheme="majorHAnsi" w:eastAsia="Times New Roman" w:hAnsiTheme="majorHAnsi" w:cstheme="majorHAnsi"/>
                <w:b/>
                <w:bCs/>
                <w:color w:val="FFFFFF" w:themeColor="background1"/>
                <w:szCs w:val="24"/>
              </w:rPr>
              <w:t>100%</w:t>
            </w:r>
          </w:p>
        </w:tc>
      </w:tr>
    </w:tbl>
    <w:p w:rsidR="0087435D" w:rsidRPr="00377B5D" w:rsidRDefault="0087435D" w:rsidP="0087435D">
      <w:pPr>
        <w:spacing w:line="240" w:lineRule="auto"/>
        <w:ind w:left="57"/>
        <w:jc w:val="both"/>
        <w:rPr>
          <w:rFonts w:asciiTheme="majorHAnsi" w:hAnsiTheme="majorHAnsi" w:cstheme="majorHAnsi"/>
        </w:rPr>
      </w:pPr>
    </w:p>
    <w:p w:rsidR="0087435D" w:rsidRPr="0087435D" w:rsidRDefault="0087435D" w:rsidP="0087435D">
      <w:pPr>
        <w:pStyle w:val="PargrafodaLista"/>
        <w:numPr>
          <w:ilvl w:val="1"/>
          <w:numId w:val="11"/>
        </w:numPr>
        <w:outlineLvl w:val="1"/>
        <w:rPr>
          <w:rFonts w:asciiTheme="majorHAnsi" w:eastAsia="Times New Roman" w:hAnsiTheme="majorHAnsi" w:cstheme="majorHAnsi"/>
          <w:b/>
          <w:bCs/>
          <w:color w:val="E36C0A" w:themeColor="accent6" w:themeShade="BF"/>
          <w:sz w:val="28"/>
          <w:szCs w:val="28"/>
        </w:rPr>
      </w:pPr>
      <w:bookmarkStart w:id="15" w:name="_Toc162271169"/>
      <w:r>
        <w:rPr>
          <w:rFonts w:asciiTheme="majorHAnsi" w:eastAsia="Times New Roman" w:hAnsiTheme="majorHAnsi" w:cstheme="majorHAnsi"/>
          <w:b/>
          <w:bCs/>
          <w:color w:val="E36C0A" w:themeColor="accent6" w:themeShade="BF"/>
          <w:sz w:val="28"/>
          <w:szCs w:val="28"/>
        </w:rPr>
        <w:t xml:space="preserve"> </w:t>
      </w:r>
      <w:bookmarkStart w:id="16" w:name="_Toc210312227"/>
      <w:bookmarkStart w:id="17" w:name="_Toc210662694"/>
      <w:bookmarkStart w:id="18" w:name="_Toc223442907"/>
      <w:r>
        <w:rPr>
          <w:rFonts w:asciiTheme="majorHAnsi" w:eastAsia="Times New Roman" w:hAnsiTheme="majorHAnsi" w:cstheme="majorHAnsi"/>
          <w:b/>
          <w:bCs/>
          <w:color w:val="E36C0A" w:themeColor="accent6" w:themeShade="BF"/>
          <w:sz w:val="28"/>
          <w:szCs w:val="28"/>
        </w:rPr>
        <w:t xml:space="preserve">MONITORAMENTO DAS </w:t>
      </w:r>
      <w:r w:rsidRPr="009126B8">
        <w:rPr>
          <w:rFonts w:asciiTheme="majorHAnsi" w:eastAsia="Times New Roman" w:hAnsiTheme="majorHAnsi" w:cstheme="majorHAnsi"/>
          <w:b/>
          <w:bCs/>
          <w:color w:val="E36C0A" w:themeColor="accent6" w:themeShade="BF"/>
          <w:sz w:val="28"/>
          <w:szCs w:val="28"/>
        </w:rPr>
        <w:t>METAS NACIONAIS</w:t>
      </w:r>
      <w:bookmarkEnd w:id="15"/>
      <w:bookmarkEnd w:id="16"/>
      <w:bookmarkEnd w:id="17"/>
      <w:bookmarkEnd w:id="18"/>
    </w:p>
    <w:p w:rsidR="0087435D" w:rsidRPr="0087435D" w:rsidRDefault="0087435D" w:rsidP="0087435D">
      <w:pPr>
        <w:pStyle w:val="textojustificadorecuoprimeiralinha"/>
        <w:spacing w:before="0" w:beforeAutospacing="0" w:after="200" w:afterAutospacing="0" w:line="360" w:lineRule="auto"/>
        <w:ind w:firstLine="720"/>
        <w:jc w:val="both"/>
        <w:rPr>
          <w:rFonts w:asciiTheme="majorHAnsi" w:hAnsiTheme="majorHAnsi" w:cstheme="majorHAnsi"/>
        </w:rPr>
      </w:pPr>
      <w:r w:rsidRPr="00E90675">
        <w:rPr>
          <w:rFonts w:asciiTheme="majorHAnsi" w:hAnsiTheme="majorHAnsi" w:cstheme="majorHAnsi"/>
        </w:rPr>
        <w:tab/>
        <w:t xml:space="preserve">A seguir, são apresentados os resultados obtidos pelo TJMG nas metas nacionais do Poder Judiciário, tendo referência os dados de 31 de </w:t>
      </w:r>
      <w:r>
        <w:rPr>
          <w:rFonts w:asciiTheme="majorHAnsi" w:hAnsiTheme="majorHAnsi" w:cstheme="majorHAnsi"/>
        </w:rPr>
        <w:t>dezembro</w:t>
      </w:r>
      <w:r w:rsidRPr="00E90675">
        <w:rPr>
          <w:rFonts w:asciiTheme="majorHAnsi" w:hAnsiTheme="majorHAnsi" w:cstheme="majorHAnsi"/>
        </w:rPr>
        <w:t xml:space="preserve"> de 2025.</w:t>
      </w:r>
    </w:p>
    <w:tbl>
      <w:tblPr>
        <w:tblStyle w:val="Tabelacomgrade"/>
        <w:tblW w:w="10207" w:type="dxa"/>
        <w:tblInd w:w="-3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955"/>
        <w:gridCol w:w="2126"/>
        <w:gridCol w:w="2126"/>
      </w:tblGrid>
      <w:tr w:rsidR="0087435D" w:rsidRPr="000E699B" w:rsidTr="0087435D">
        <w:trPr>
          <w:trHeight w:val="417"/>
          <w:tblHeader/>
        </w:trPr>
        <w:tc>
          <w:tcPr>
            <w:tcW w:w="5955" w:type="dxa"/>
            <w:tcBorders>
              <w:bottom w:val="single" w:sz="8" w:space="0" w:color="auto"/>
            </w:tcBorders>
            <w:shd w:val="clear" w:color="auto" w:fill="E46C0A"/>
            <w:vAlign w:val="center"/>
          </w:tcPr>
          <w:p w:rsidR="0087435D" w:rsidRPr="005F082C" w:rsidRDefault="0087435D" w:rsidP="0087435D">
            <w:pPr>
              <w:ind w:left="57"/>
              <w:jc w:val="center"/>
              <w:rPr>
                <w:rFonts w:asciiTheme="majorHAnsi" w:hAnsiTheme="majorHAnsi" w:cstheme="majorHAnsi"/>
                <w:b/>
                <w:bCs/>
                <w:color w:val="FFFFFF" w:themeColor="background1"/>
                <w:sz w:val="24"/>
                <w:szCs w:val="24"/>
              </w:rPr>
            </w:pPr>
            <w:r w:rsidRPr="005F082C">
              <w:rPr>
                <w:rFonts w:asciiTheme="majorHAnsi" w:hAnsiTheme="majorHAnsi" w:cstheme="majorHAnsi"/>
                <w:b/>
                <w:bCs/>
                <w:color w:val="FFFFFF" w:themeColor="background1"/>
                <w:sz w:val="24"/>
                <w:szCs w:val="24"/>
              </w:rPr>
              <w:t>META NACIONAL</w:t>
            </w:r>
          </w:p>
        </w:tc>
        <w:tc>
          <w:tcPr>
            <w:tcW w:w="2126" w:type="dxa"/>
            <w:shd w:val="clear" w:color="auto" w:fill="E46C0A"/>
            <w:vAlign w:val="center"/>
          </w:tcPr>
          <w:p w:rsidR="0087435D" w:rsidRPr="005F082C" w:rsidRDefault="0087435D" w:rsidP="0087435D">
            <w:pPr>
              <w:ind w:left="57"/>
              <w:jc w:val="center"/>
              <w:rPr>
                <w:rFonts w:asciiTheme="majorHAnsi" w:hAnsiTheme="majorHAnsi" w:cstheme="majorHAnsi"/>
                <w:b/>
                <w:bCs/>
                <w:color w:val="FFFFFF" w:themeColor="background1"/>
                <w:sz w:val="24"/>
                <w:szCs w:val="24"/>
              </w:rPr>
            </w:pPr>
            <w:r w:rsidRPr="005F082C">
              <w:rPr>
                <w:rFonts w:asciiTheme="majorHAnsi" w:hAnsiTheme="majorHAnsi" w:cstheme="majorHAnsi"/>
                <w:b/>
                <w:bCs/>
                <w:color w:val="FFFFFF" w:themeColor="background1"/>
                <w:sz w:val="24"/>
                <w:szCs w:val="24"/>
              </w:rPr>
              <w:t>INSTÂNCIA</w:t>
            </w:r>
          </w:p>
        </w:tc>
        <w:tc>
          <w:tcPr>
            <w:tcW w:w="2126" w:type="dxa"/>
            <w:shd w:val="clear" w:color="auto" w:fill="E46C0A"/>
            <w:vAlign w:val="center"/>
          </w:tcPr>
          <w:p w:rsidR="0087435D" w:rsidRPr="005F082C" w:rsidRDefault="0087435D" w:rsidP="0087435D">
            <w:pPr>
              <w:ind w:left="57"/>
              <w:jc w:val="center"/>
              <w:rPr>
                <w:rFonts w:asciiTheme="majorHAnsi" w:hAnsiTheme="majorHAnsi" w:cstheme="majorHAnsi"/>
                <w:b/>
                <w:bCs/>
                <w:color w:val="FFFFFF" w:themeColor="background1"/>
                <w:sz w:val="24"/>
                <w:szCs w:val="24"/>
              </w:rPr>
            </w:pPr>
            <w:r w:rsidRPr="005F082C">
              <w:rPr>
                <w:rFonts w:asciiTheme="majorHAnsi" w:hAnsiTheme="majorHAnsi" w:cstheme="majorHAnsi"/>
                <w:b/>
                <w:bCs/>
                <w:color w:val="FFFFFF" w:themeColor="background1"/>
                <w:sz w:val="24"/>
                <w:szCs w:val="24"/>
              </w:rPr>
              <w:t>PERCENTUAL DE CUMPRIMENTO</w:t>
            </w:r>
          </w:p>
        </w:tc>
      </w:tr>
      <w:tr w:rsidR="0087435D" w:rsidRPr="000E699B" w:rsidTr="0087435D">
        <w:trPr>
          <w:trHeight w:val="397"/>
        </w:trPr>
        <w:tc>
          <w:tcPr>
            <w:tcW w:w="5955" w:type="dxa"/>
            <w:vMerge w:val="restart"/>
            <w:tcBorders>
              <w:bottom w:val="single" w:sz="18" w:space="0" w:color="auto"/>
            </w:tcBorders>
            <w:shd w:val="clear" w:color="auto" w:fill="D9D9D9" w:themeFill="background1" w:themeFillShade="D9"/>
            <w:vAlign w:val="center"/>
          </w:tcPr>
          <w:p w:rsidR="0087435D" w:rsidRPr="0087435D" w:rsidRDefault="0087435D" w:rsidP="0087435D">
            <w:pPr>
              <w:ind w:left="57"/>
              <w:jc w:val="both"/>
              <w:rPr>
                <w:rFonts w:asciiTheme="majorHAnsi" w:hAnsiTheme="majorHAnsi" w:cstheme="majorHAnsi"/>
                <w:bCs/>
                <w:lang w:val="pt-BR"/>
              </w:rPr>
            </w:pPr>
            <w:r w:rsidRPr="0087435D">
              <w:rPr>
                <w:rFonts w:asciiTheme="majorHAnsi" w:hAnsiTheme="majorHAnsi" w:cstheme="majorHAnsi"/>
                <w:b/>
                <w:bCs/>
                <w:lang w:val="pt-BR"/>
              </w:rPr>
              <w:t>CNJ 1</w:t>
            </w:r>
            <w:r w:rsidRPr="0087435D">
              <w:rPr>
                <w:rFonts w:asciiTheme="majorHAnsi" w:hAnsiTheme="majorHAnsi" w:cstheme="majorHAnsi"/>
                <w:bCs/>
                <w:lang w:val="pt-BR"/>
              </w:rPr>
              <w:t xml:space="preserve"> - Julgar quantidade maior de processos de conhecimento do que os distribuídos de 20/12/2024 a 19/12/2025, excluídos os suspensos e sobrestados de 20/12/2024 a 19/12/2025.</w:t>
            </w:r>
          </w:p>
        </w:tc>
        <w:tc>
          <w:tcPr>
            <w:tcW w:w="2126" w:type="dxa"/>
            <w:shd w:val="clear" w:color="auto" w:fill="D9D9D9" w:themeFill="background1" w:themeFillShade="D9"/>
            <w:vAlign w:val="bottom"/>
          </w:tcPr>
          <w:p w:rsidR="0087435D" w:rsidRPr="00E1657D" w:rsidRDefault="0087435D" w:rsidP="0087435D">
            <w:pPr>
              <w:ind w:left="57"/>
              <w:jc w:val="both"/>
              <w:rPr>
                <w:rFonts w:asciiTheme="majorHAnsi" w:hAnsiTheme="majorHAnsi" w:cstheme="majorHAnsi"/>
                <w:b/>
                <w:bCs/>
              </w:rPr>
            </w:pPr>
            <w:r w:rsidRPr="00E1657D">
              <w:rPr>
                <w:rFonts w:asciiTheme="majorHAnsi" w:hAnsiTheme="majorHAnsi" w:cstheme="majorHAnsi"/>
                <w:b/>
                <w:bCs/>
              </w:rPr>
              <w:t>Total</w:t>
            </w:r>
          </w:p>
        </w:tc>
        <w:tc>
          <w:tcPr>
            <w:tcW w:w="2126" w:type="dxa"/>
            <w:shd w:val="clear" w:color="auto" w:fill="D9D9D9" w:themeFill="background1" w:themeFillShade="D9"/>
            <w:vAlign w:val="center"/>
          </w:tcPr>
          <w:p w:rsidR="0087435D" w:rsidRPr="00E1657D" w:rsidRDefault="0087435D" w:rsidP="0087435D">
            <w:pPr>
              <w:ind w:left="57"/>
              <w:jc w:val="center"/>
              <w:rPr>
                <w:rFonts w:asciiTheme="majorHAnsi" w:hAnsiTheme="majorHAnsi" w:cstheme="majorHAnsi"/>
                <w:b/>
                <w:bCs/>
              </w:rPr>
            </w:pPr>
            <w:r>
              <w:rPr>
                <w:rFonts w:asciiTheme="majorHAnsi" w:hAnsiTheme="majorHAnsi" w:cstheme="majorHAnsi"/>
                <w:b/>
                <w:bCs/>
              </w:rPr>
              <w:t>95,65%</w:t>
            </w:r>
          </w:p>
        </w:tc>
      </w:tr>
      <w:tr w:rsidR="0087435D" w:rsidRPr="000E699B" w:rsidTr="0087435D">
        <w:trPr>
          <w:trHeight w:val="397"/>
        </w:trPr>
        <w:tc>
          <w:tcPr>
            <w:tcW w:w="5955" w:type="dxa"/>
            <w:vMerge/>
            <w:tcBorders>
              <w:bottom w:val="single" w:sz="18" w:space="0" w:color="auto"/>
            </w:tcBorders>
            <w:shd w:val="clear" w:color="auto" w:fill="D9D9D9" w:themeFill="background1" w:themeFillShade="D9"/>
          </w:tcPr>
          <w:p w:rsidR="0087435D" w:rsidRPr="00E1657D" w:rsidRDefault="0087435D" w:rsidP="0087435D">
            <w:pPr>
              <w:ind w:left="57"/>
              <w:jc w:val="both"/>
              <w:rPr>
                <w:rFonts w:asciiTheme="majorHAnsi" w:hAnsiTheme="majorHAnsi" w:cstheme="majorHAnsi"/>
                <w:bCs/>
              </w:rPr>
            </w:pPr>
          </w:p>
        </w:tc>
        <w:tc>
          <w:tcPr>
            <w:tcW w:w="2126" w:type="dxa"/>
            <w:shd w:val="clear" w:color="auto" w:fill="D9D9D9" w:themeFill="background1" w:themeFillShade="D9"/>
            <w:vAlign w:val="center"/>
          </w:tcPr>
          <w:p w:rsidR="0087435D" w:rsidRPr="00E1657D" w:rsidRDefault="0087435D" w:rsidP="0087435D">
            <w:pPr>
              <w:ind w:left="57"/>
              <w:jc w:val="both"/>
              <w:rPr>
                <w:rFonts w:asciiTheme="majorHAnsi" w:hAnsiTheme="majorHAnsi" w:cstheme="majorHAnsi"/>
                <w:bCs/>
              </w:rPr>
            </w:pPr>
            <w:r w:rsidRPr="00E1657D">
              <w:rPr>
                <w:rFonts w:asciiTheme="majorHAnsi" w:hAnsiTheme="majorHAnsi" w:cstheme="majorHAnsi"/>
                <w:bCs/>
              </w:rPr>
              <w:t>1° Grau</w:t>
            </w:r>
          </w:p>
        </w:tc>
        <w:tc>
          <w:tcPr>
            <w:tcW w:w="2126" w:type="dxa"/>
            <w:shd w:val="clear" w:color="auto" w:fill="D9D9D9" w:themeFill="background1" w:themeFillShade="D9"/>
            <w:vAlign w:val="center"/>
          </w:tcPr>
          <w:p w:rsidR="0087435D" w:rsidRPr="00E1657D" w:rsidRDefault="0087435D" w:rsidP="0087435D">
            <w:pPr>
              <w:ind w:left="57"/>
              <w:jc w:val="center"/>
              <w:rPr>
                <w:rFonts w:asciiTheme="majorHAnsi" w:hAnsiTheme="majorHAnsi" w:cstheme="majorHAnsi"/>
                <w:bCs/>
              </w:rPr>
            </w:pPr>
            <w:r>
              <w:rPr>
                <w:rFonts w:asciiTheme="majorHAnsi" w:hAnsiTheme="majorHAnsi" w:cstheme="majorHAnsi"/>
                <w:bCs/>
              </w:rPr>
              <w:t>96,76%</w:t>
            </w:r>
          </w:p>
        </w:tc>
      </w:tr>
      <w:tr w:rsidR="0087435D" w:rsidRPr="000E699B" w:rsidTr="0087435D">
        <w:trPr>
          <w:trHeight w:val="397"/>
        </w:trPr>
        <w:tc>
          <w:tcPr>
            <w:tcW w:w="5955" w:type="dxa"/>
            <w:vMerge/>
            <w:tcBorders>
              <w:bottom w:val="single" w:sz="18" w:space="0" w:color="auto"/>
            </w:tcBorders>
            <w:shd w:val="clear" w:color="auto" w:fill="D9D9D9" w:themeFill="background1" w:themeFillShade="D9"/>
          </w:tcPr>
          <w:p w:rsidR="0087435D" w:rsidRPr="00E1657D" w:rsidRDefault="0087435D" w:rsidP="0087435D">
            <w:pPr>
              <w:ind w:left="57"/>
              <w:jc w:val="both"/>
              <w:rPr>
                <w:rFonts w:asciiTheme="majorHAnsi" w:hAnsiTheme="majorHAnsi" w:cstheme="majorHAnsi"/>
                <w:bCs/>
              </w:rPr>
            </w:pPr>
          </w:p>
        </w:tc>
        <w:tc>
          <w:tcPr>
            <w:tcW w:w="2126" w:type="dxa"/>
            <w:shd w:val="clear" w:color="auto" w:fill="D9D9D9" w:themeFill="background1" w:themeFillShade="D9"/>
            <w:vAlign w:val="center"/>
          </w:tcPr>
          <w:p w:rsidR="0087435D" w:rsidRPr="00E1657D" w:rsidRDefault="0087435D" w:rsidP="0087435D">
            <w:pPr>
              <w:ind w:left="57"/>
              <w:jc w:val="both"/>
              <w:rPr>
                <w:rFonts w:asciiTheme="majorHAnsi" w:hAnsiTheme="majorHAnsi" w:cstheme="majorHAnsi"/>
                <w:bCs/>
              </w:rPr>
            </w:pPr>
            <w:proofErr w:type="spellStart"/>
            <w:r w:rsidRPr="00E1657D">
              <w:rPr>
                <w:rFonts w:asciiTheme="majorHAnsi" w:hAnsiTheme="majorHAnsi" w:cstheme="majorHAnsi"/>
                <w:bCs/>
              </w:rPr>
              <w:t>Juizado</w:t>
            </w:r>
            <w:proofErr w:type="spellEnd"/>
            <w:r w:rsidRPr="00E1657D">
              <w:rPr>
                <w:rFonts w:asciiTheme="majorHAnsi" w:hAnsiTheme="majorHAnsi" w:cstheme="majorHAnsi"/>
                <w:bCs/>
              </w:rPr>
              <w:t xml:space="preserve"> Especial</w:t>
            </w:r>
          </w:p>
        </w:tc>
        <w:tc>
          <w:tcPr>
            <w:tcW w:w="2126" w:type="dxa"/>
            <w:shd w:val="clear" w:color="auto" w:fill="D9D9D9" w:themeFill="background1" w:themeFillShade="D9"/>
            <w:vAlign w:val="center"/>
          </w:tcPr>
          <w:p w:rsidR="0087435D" w:rsidRPr="00E1657D" w:rsidRDefault="0087435D" w:rsidP="0087435D">
            <w:pPr>
              <w:ind w:left="57"/>
              <w:jc w:val="center"/>
              <w:rPr>
                <w:rFonts w:asciiTheme="majorHAnsi" w:hAnsiTheme="majorHAnsi" w:cstheme="majorHAnsi"/>
                <w:bCs/>
              </w:rPr>
            </w:pPr>
            <w:r>
              <w:rPr>
                <w:rFonts w:asciiTheme="majorHAnsi" w:hAnsiTheme="majorHAnsi" w:cstheme="majorHAnsi"/>
                <w:bCs/>
              </w:rPr>
              <w:t>92,97%</w:t>
            </w:r>
          </w:p>
        </w:tc>
      </w:tr>
      <w:tr w:rsidR="0087435D" w:rsidRPr="000E699B" w:rsidTr="0087435D">
        <w:trPr>
          <w:trHeight w:val="397"/>
        </w:trPr>
        <w:tc>
          <w:tcPr>
            <w:tcW w:w="5955" w:type="dxa"/>
            <w:vMerge/>
            <w:tcBorders>
              <w:bottom w:val="single" w:sz="18" w:space="0" w:color="auto"/>
            </w:tcBorders>
            <w:shd w:val="clear" w:color="auto" w:fill="D9D9D9" w:themeFill="background1" w:themeFillShade="D9"/>
          </w:tcPr>
          <w:p w:rsidR="0087435D" w:rsidRPr="00E1657D" w:rsidRDefault="0087435D" w:rsidP="0087435D">
            <w:pPr>
              <w:ind w:left="57"/>
              <w:jc w:val="both"/>
              <w:rPr>
                <w:rFonts w:asciiTheme="majorHAnsi" w:hAnsiTheme="majorHAnsi" w:cstheme="majorHAnsi"/>
                <w:bCs/>
              </w:rPr>
            </w:pPr>
          </w:p>
        </w:tc>
        <w:tc>
          <w:tcPr>
            <w:tcW w:w="2126" w:type="dxa"/>
            <w:tcBorders>
              <w:bottom w:val="single" w:sz="8" w:space="0" w:color="auto"/>
            </w:tcBorders>
            <w:shd w:val="clear" w:color="auto" w:fill="D9D9D9" w:themeFill="background1" w:themeFillShade="D9"/>
            <w:vAlign w:val="center"/>
          </w:tcPr>
          <w:p w:rsidR="0087435D" w:rsidRPr="00E1657D" w:rsidRDefault="0087435D" w:rsidP="0087435D">
            <w:pPr>
              <w:ind w:left="57"/>
              <w:jc w:val="both"/>
              <w:rPr>
                <w:rFonts w:asciiTheme="majorHAnsi" w:hAnsiTheme="majorHAnsi" w:cstheme="majorHAnsi"/>
                <w:bCs/>
              </w:rPr>
            </w:pPr>
            <w:proofErr w:type="spellStart"/>
            <w:r w:rsidRPr="00E1657D">
              <w:rPr>
                <w:rFonts w:asciiTheme="majorHAnsi" w:hAnsiTheme="majorHAnsi" w:cstheme="majorHAnsi"/>
                <w:bCs/>
              </w:rPr>
              <w:t>Turma</w:t>
            </w:r>
            <w:proofErr w:type="spellEnd"/>
            <w:r w:rsidRPr="00E1657D">
              <w:rPr>
                <w:rFonts w:asciiTheme="majorHAnsi" w:hAnsiTheme="majorHAnsi" w:cstheme="majorHAnsi"/>
                <w:bCs/>
              </w:rPr>
              <w:t xml:space="preserve"> </w:t>
            </w:r>
            <w:proofErr w:type="spellStart"/>
            <w:r w:rsidRPr="00E1657D">
              <w:rPr>
                <w:rFonts w:asciiTheme="majorHAnsi" w:hAnsiTheme="majorHAnsi" w:cstheme="majorHAnsi"/>
                <w:bCs/>
              </w:rPr>
              <w:t>Recursal</w:t>
            </w:r>
            <w:proofErr w:type="spellEnd"/>
          </w:p>
        </w:tc>
        <w:tc>
          <w:tcPr>
            <w:tcW w:w="2126" w:type="dxa"/>
            <w:tcBorders>
              <w:bottom w:val="single" w:sz="8" w:space="0" w:color="auto"/>
            </w:tcBorders>
            <w:shd w:val="clear" w:color="auto" w:fill="D9D9D9" w:themeFill="background1" w:themeFillShade="D9"/>
            <w:vAlign w:val="center"/>
          </w:tcPr>
          <w:p w:rsidR="0087435D" w:rsidRPr="00E1657D" w:rsidRDefault="0087435D" w:rsidP="0087435D">
            <w:pPr>
              <w:ind w:left="57"/>
              <w:jc w:val="center"/>
              <w:rPr>
                <w:rFonts w:asciiTheme="majorHAnsi" w:hAnsiTheme="majorHAnsi" w:cstheme="majorHAnsi"/>
                <w:bCs/>
              </w:rPr>
            </w:pPr>
            <w:r>
              <w:rPr>
                <w:rFonts w:asciiTheme="majorHAnsi" w:hAnsiTheme="majorHAnsi" w:cstheme="majorHAnsi"/>
                <w:bCs/>
              </w:rPr>
              <w:t>106,30%</w:t>
            </w:r>
          </w:p>
        </w:tc>
      </w:tr>
      <w:tr w:rsidR="0087435D" w:rsidRPr="000E699B" w:rsidTr="0087435D">
        <w:trPr>
          <w:trHeight w:val="397"/>
        </w:trPr>
        <w:tc>
          <w:tcPr>
            <w:tcW w:w="5955" w:type="dxa"/>
            <w:vMerge/>
            <w:tcBorders>
              <w:bottom w:val="single" w:sz="18" w:space="0" w:color="auto"/>
            </w:tcBorders>
            <w:shd w:val="clear" w:color="auto" w:fill="D9D9D9" w:themeFill="background1" w:themeFillShade="D9"/>
          </w:tcPr>
          <w:p w:rsidR="0087435D" w:rsidRPr="00E1657D" w:rsidRDefault="0087435D" w:rsidP="0087435D">
            <w:pPr>
              <w:ind w:left="57"/>
              <w:jc w:val="both"/>
              <w:rPr>
                <w:rFonts w:asciiTheme="majorHAnsi" w:hAnsiTheme="majorHAnsi" w:cstheme="majorHAnsi"/>
                <w:bCs/>
              </w:rPr>
            </w:pPr>
          </w:p>
        </w:tc>
        <w:tc>
          <w:tcPr>
            <w:tcW w:w="2126" w:type="dxa"/>
            <w:tcBorders>
              <w:bottom w:val="single" w:sz="18" w:space="0" w:color="auto"/>
            </w:tcBorders>
            <w:shd w:val="clear" w:color="auto" w:fill="D9D9D9" w:themeFill="background1" w:themeFillShade="D9"/>
            <w:vAlign w:val="center"/>
          </w:tcPr>
          <w:p w:rsidR="0087435D" w:rsidRPr="00E1657D" w:rsidRDefault="0087435D" w:rsidP="0087435D">
            <w:pPr>
              <w:ind w:left="57"/>
              <w:jc w:val="both"/>
              <w:rPr>
                <w:rFonts w:asciiTheme="majorHAnsi" w:hAnsiTheme="majorHAnsi" w:cstheme="majorHAnsi"/>
                <w:bCs/>
              </w:rPr>
            </w:pPr>
            <w:r w:rsidRPr="00E1657D">
              <w:rPr>
                <w:rFonts w:asciiTheme="majorHAnsi" w:hAnsiTheme="majorHAnsi" w:cstheme="majorHAnsi"/>
                <w:bCs/>
              </w:rPr>
              <w:t>2° Grau</w:t>
            </w:r>
          </w:p>
        </w:tc>
        <w:tc>
          <w:tcPr>
            <w:tcW w:w="2126" w:type="dxa"/>
            <w:tcBorders>
              <w:bottom w:val="single" w:sz="18" w:space="0" w:color="auto"/>
            </w:tcBorders>
            <w:shd w:val="clear" w:color="auto" w:fill="D9D9D9" w:themeFill="background1" w:themeFillShade="D9"/>
            <w:vAlign w:val="center"/>
          </w:tcPr>
          <w:p w:rsidR="0087435D" w:rsidRPr="00E1657D" w:rsidRDefault="0087435D" w:rsidP="0087435D">
            <w:pPr>
              <w:ind w:left="57"/>
              <w:jc w:val="center"/>
              <w:rPr>
                <w:rFonts w:asciiTheme="majorHAnsi" w:hAnsiTheme="majorHAnsi" w:cstheme="majorHAnsi"/>
                <w:bCs/>
              </w:rPr>
            </w:pPr>
            <w:r>
              <w:rPr>
                <w:rFonts w:asciiTheme="majorHAnsi" w:hAnsiTheme="majorHAnsi" w:cstheme="majorHAnsi"/>
                <w:bCs/>
              </w:rPr>
              <w:t>93,31%</w:t>
            </w:r>
          </w:p>
        </w:tc>
      </w:tr>
      <w:tr w:rsidR="0087435D" w:rsidRPr="000E699B" w:rsidTr="0087435D">
        <w:trPr>
          <w:trHeight w:val="397"/>
        </w:trPr>
        <w:tc>
          <w:tcPr>
            <w:tcW w:w="5955" w:type="dxa"/>
            <w:vMerge w:val="restart"/>
            <w:tcBorders>
              <w:top w:val="single" w:sz="18" w:space="0" w:color="auto"/>
            </w:tcBorders>
            <w:shd w:val="clear" w:color="auto" w:fill="FFFFFF" w:themeFill="background1"/>
            <w:vAlign w:val="center"/>
          </w:tcPr>
          <w:p w:rsidR="0087435D" w:rsidRPr="0087435D" w:rsidRDefault="0087435D" w:rsidP="0087435D">
            <w:pPr>
              <w:ind w:left="57"/>
              <w:jc w:val="both"/>
              <w:rPr>
                <w:rFonts w:asciiTheme="majorHAnsi" w:hAnsiTheme="majorHAnsi" w:cstheme="majorHAnsi"/>
                <w:bCs/>
                <w:lang w:val="pt-BR"/>
              </w:rPr>
            </w:pPr>
            <w:r w:rsidRPr="0087435D">
              <w:rPr>
                <w:rFonts w:asciiTheme="majorHAnsi" w:hAnsiTheme="majorHAnsi" w:cstheme="majorHAnsi"/>
                <w:b/>
                <w:bCs/>
                <w:lang w:val="pt-BR"/>
              </w:rPr>
              <w:t>CNJ 2</w:t>
            </w:r>
            <w:r w:rsidRPr="0087435D">
              <w:rPr>
                <w:rFonts w:asciiTheme="majorHAnsi" w:hAnsiTheme="majorHAnsi" w:cstheme="majorHAnsi"/>
                <w:bCs/>
                <w:lang w:val="pt-BR"/>
              </w:rPr>
              <w:t xml:space="preserve"> - Identificar e julgar até 31/12/2025,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w="2126" w:type="dxa"/>
            <w:tcBorders>
              <w:top w:val="single" w:sz="18" w:space="0" w:color="auto"/>
            </w:tcBorders>
            <w:shd w:val="clear" w:color="auto" w:fill="FFFFFF" w:themeFill="background1"/>
            <w:vAlign w:val="center"/>
          </w:tcPr>
          <w:p w:rsidR="0087435D" w:rsidRPr="00CB7B5C" w:rsidRDefault="0087435D" w:rsidP="0087435D">
            <w:pPr>
              <w:ind w:left="57"/>
              <w:jc w:val="both"/>
              <w:rPr>
                <w:rFonts w:asciiTheme="majorHAnsi" w:hAnsiTheme="majorHAnsi" w:cstheme="majorHAnsi"/>
                <w:bCs/>
              </w:rPr>
            </w:pPr>
            <w:r w:rsidRPr="00CB7B5C">
              <w:rPr>
                <w:rFonts w:asciiTheme="majorHAnsi" w:hAnsiTheme="majorHAnsi" w:cstheme="majorHAnsi"/>
                <w:bCs/>
              </w:rPr>
              <w:t>1° Grau</w:t>
            </w:r>
          </w:p>
        </w:tc>
        <w:tc>
          <w:tcPr>
            <w:tcW w:w="2126" w:type="dxa"/>
            <w:tcBorders>
              <w:top w:val="single" w:sz="1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107,60%</w:t>
            </w:r>
          </w:p>
        </w:tc>
      </w:tr>
      <w:tr w:rsidR="0087435D" w:rsidRPr="000E699B" w:rsidTr="0087435D">
        <w:trPr>
          <w:trHeight w:val="397"/>
        </w:trPr>
        <w:tc>
          <w:tcPr>
            <w:tcW w:w="5955" w:type="dxa"/>
            <w:vMerge/>
            <w:shd w:val="clear" w:color="auto" w:fill="FFFFFF" w:themeFill="background1"/>
          </w:tcPr>
          <w:p w:rsidR="0087435D" w:rsidRPr="00CB7B5C" w:rsidRDefault="0087435D" w:rsidP="0087435D">
            <w:pPr>
              <w:ind w:left="57"/>
              <w:jc w:val="both"/>
              <w:rPr>
                <w:rFonts w:asciiTheme="majorHAnsi" w:hAnsiTheme="majorHAnsi" w:cstheme="majorHAnsi"/>
                <w:bCs/>
              </w:rPr>
            </w:pPr>
          </w:p>
        </w:tc>
        <w:tc>
          <w:tcPr>
            <w:tcW w:w="2126" w:type="dxa"/>
            <w:tcBorders>
              <w:bottom w:val="single" w:sz="8" w:space="0" w:color="auto"/>
            </w:tcBorders>
            <w:shd w:val="clear" w:color="auto" w:fill="FFFFFF" w:themeFill="background1"/>
            <w:vAlign w:val="center"/>
          </w:tcPr>
          <w:p w:rsidR="0087435D" w:rsidRPr="00CB7B5C" w:rsidRDefault="0087435D" w:rsidP="0087435D">
            <w:pPr>
              <w:ind w:left="57"/>
              <w:jc w:val="both"/>
              <w:rPr>
                <w:rFonts w:asciiTheme="majorHAnsi" w:hAnsiTheme="majorHAnsi" w:cstheme="majorHAnsi"/>
                <w:bCs/>
              </w:rPr>
            </w:pPr>
            <w:r w:rsidRPr="00CB7B5C">
              <w:rPr>
                <w:rFonts w:asciiTheme="majorHAnsi" w:hAnsiTheme="majorHAnsi" w:cstheme="majorHAnsi"/>
                <w:bCs/>
              </w:rPr>
              <w:t>2° Grau</w:t>
            </w:r>
          </w:p>
        </w:tc>
        <w:tc>
          <w:tcPr>
            <w:tcW w:w="2126" w:type="dxa"/>
            <w:tcBorders>
              <w:bottom w:val="single" w:sz="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109,38%</w:t>
            </w:r>
          </w:p>
        </w:tc>
      </w:tr>
      <w:tr w:rsidR="0087435D" w:rsidRPr="000E699B" w:rsidTr="0087435D">
        <w:trPr>
          <w:trHeight w:val="510"/>
        </w:trPr>
        <w:tc>
          <w:tcPr>
            <w:tcW w:w="5955" w:type="dxa"/>
            <w:vMerge/>
            <w:shd w:val="clear" w:color="auto" w:fill="FFFFFF" w:themeFill="background1"/>
          </w:tcPr>
          <w:p w:rsidR="0087435D" w:rsidRPr="00CB7B5C" w:rsidRDefault="0087435D" w:rsidP="0087435D">
            <w:pPr>
              <w:ind w:left="57"/>
              <w:jc w:val="both"/>
              <w:rPr>
                <w:rFonts w:asciiTheme="majorHAnsi" w:hAnsiTheme="majorHAnsi" w:cstheme="majorHAnsi"/>
                <w:bCs/>
              </w:rPr>
            </w:pPr>
          </w:p>
        </w:tc>
        <w:tc>
          <w:tcPr>
            <w:tcW w:w="2126" w:type="dxa"/>
            <w:tcBorders>
              <w:bottom w:val="single" w:sz="8" w:space="0" w:color="auto"/>
            </w:tcBorders>
            <w:shd w:val="clear" w:color="auto" w:fill="FFFFFF" w:themeFill="background1"/>
            <w:vAlign w:val="center"/>
          </w:tcPr>
          <w:p w:rsidR="0087435D" w:rsidRPr="0087435D" w:rsidRDefault="0087435D" w:rsidP="0087435D">
            <w:pPr>
              <w:ind w:left="57"/>
              <w:jc w:val="both"/>
              <w:rPr>
                <w:rFonts w:asciiTheme="majorHAnsi" w:hAnsiTheme="majorHAnsi" w:cstheme="majorHAnsi"/>
                <w:bCs/>
                <w:lang w:val="pt-BR"/>
              </w:rPr>
            </w:pPr>
            <w:r w:rsidRPr="0087435D">
              <w:rPr>
                <w:rFonts w:asciiTheme="majorHAnsi" w:hAnsiTheme="majorHAnsi" w:cstheme="majorHAnsi"/>
                <w:bCs/>
                <w:lang w:val="pt-BR"/>
              </w:rPr>
              <w:t>Juizados Especiais e Turmas Recursais</w:t>
            </w:r>
          </w:p>
        </w:tc>
        <w:tc>
          <w:tcPr>
            <w:tcW w:w="2126" w:type="dxa"/>
            <w:tcBorders>
              <w:bottom w:val="single" w:sz="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99,52%</w:t>
            </w:r>
          </w:p>
        </w:tc>
      </w:tr>
      <w:tr w:rsidR="0087435D" w:rsidRPr="000E699B" w:rsidTr="0087435D">
        <w:trPr>
          <w:trHeight w:val="510"/>
        </w:trPr>
        <w:tc>
          <w:tcPr>
            <w:tcW w:w="5955" w:type="dxa"/>
            <w:vMerge/>
            <w:tcBorders>
              <w:bottom w:val="single" w:sz="18" w:space="0" w:color="auto"/>
            </w:tcBorders>
            <w:shd w:val="clear" w:color="auto" w:fill="FFFFFF" w:themeFill="background1"/>
          </w:tcPr>
          <w:p w:rsidR="0087435D" w:rsidRPr="00CB7B5C" w:rsidRDefault="0087435D" w:rsidP="0087435D">
            <w:pPr>
              <w:ind w:left="57"/>
              <w:jc w:val="both"/>
              <w:rPr>
                <w:rFonts w:asciiTheme="majorHAnsi" w:hAnsiTheme="majorHAnsi" w:cstheme="majorHAnsi"/>
                <w:bCs/>
              </w:rPr>
            </w:pPr>
          </w:p>
        </w:tc>
        <w:tc>
          <w:tcPr>
            <w:tcW w:w="2126" w:type="dxa"/>
            <w:tcBorders>
              <w:bottom w:val="single" w:sz="18" w:space="0" w:color="auto"/>
            </w:tcBorders>
            <w:shd w:val="clear" w:color="auto" w:fill="FFFFFF" w:themeFill="background1"/>
            <w:vAlign w:val="center"/>
          </w:tcPr>
          <w:p w:rsidR="0087435D" w:rsidRPr="0087435D" w:rsidRDefault="0087435D" w:rsidP="0087435D">
            <w:pPr>
              <w:ind w:left="57"/>
              <w:jc w:val="both"/>
              <w:rPr>
                <w:rFonts w:asciiTheme="majorHAnsi" w:hAnsiTheme="majorHAnsi" w:cstheme="majorHAnsi"/>
                <w:bCs/>
                <w:lang w:val="pt-BR"/>
              </w:rPr>
            </w:pPr>
            <w:r w:rsidRPr="0087435D">
              <w:rPr>
                <w:rFonts w:asciiTheme="majorHAnsi" w:hAnsiTheme="majorHAnsi" w:cstheme="majorHAnsi"/>
                <w:bCs/>
                <w:lang w:val="pt-BR"/>
              </w:rPr>
              <w:t>Processos antigos – 15 anos ou mais</w:t>
            </w:r>
          </w:p>
        </w:tc>
        <w:tc>
          <w:tcPr>
            <w:tcW w:w="2126" w:type="dxa"/>
            <w:tcBorders>
              <w:bottom w:val="single" w:sz="1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48,99%</w:t>
            </w:r>
          </w:p>
        </w:tc>
      </w:tr>
      <w:tr w:rsidR="0087435D" w:rsidRPr="000E699B" w:rsidTr="0087435D">
        <w:trPr>
          <w:trHeight w:val="1065"/>
        </w:trPr>
        <w:tc>
          <w:tcPr>
            <w:tcW w:w="5955" w:type="dxa"/>
            <w:tcBorders>
              <w:top w:val="single" w:sz="18" w:space="0" w:color="auto"/>
              <w:bottom w:val="single" w:sz="18" w:space="0" w:color="auto"/>
            </w:tcBorders>
            <w:shd w:val="clear" w:color="auto" w:fill="D9D9D9" w:themeFill="background1" w:themeFillShade="D9"/>
            <w:vAlign w:val="center"/>
          </w:tcPr>
          <w:p w:rsidR="0087435D" w:rsidRPr="00CB7B5C" w:rsidRDefault="0087435D" w:rsidP="0087435D">
            <w:pPr>
              <w:ind w:left="57"/>
              <w:jc w:val="both"/>
              <w:rPr>
                <w:rFonts w:asciiTheme="majorHAnsi" w:hAnsiTheme="majorHAnsi" w:cstheme="majorHAnsi"/>
                <w:b/>
                <w:bCs/>
              </w:rPr>
            </w:pPr>
            <w:r w:rsidRPr="0087435D">
              <w:rPr>
                <w:rFonts w:asciiTheme="majorHAnsi" w:hAnsiTheme="majorHAnsi" w:cstheme="majorHAnsi"/>
                <w:b/>
                <w:bCs/>
                <w:lang w:val="pt-BR"/>
              </w:rPr>
              <w:t xml:space="preserve">CNJ 3 - </w:t>
            </w:r>
            <w:r w:rsidRPr="0087435D">
              <w:rPr>
                <w:rFonts w:asciiTheme="majorHAnsi" w:hAnsiTheme="majorHAnsi" w:cstheme="majorHAnsi"/>
                <w:lang w:val="pt-BR"/>
              </w:rPr>
              <w:t xml:space="preserve">Aumentar o indicador Índice de Conciliação do Justiça em Números em 1 ponto percentual em relação a 2024. </w:t>
            </w:r>
            <w:proofErr w:type="spellStart"/>
            <w:r w:rsidRPr="007B067D">
              <w:rPr>
                <w:rFonts w:asciiTheme="majorHAnsi" w:hAnsiTheme="majorHAnsi" w:cstheme="majorHAnsi"/>
              </w:rPr>
              <w:t>Cláusula</w:t>
            </w:r>
            <w:proofErr w:type="spellEnd"/>
            <w:r w:rsidRPr="007B067D">
              <w:rPr>
                <w:rFonts w:asciiTheme="majorHAnsi" w:hAnsiTheme="majorHAnsi" w:cstheme="majorHAnsi"/>
              </w:rPr>
              <w:t xml:space="preserve"> de </w:t>
            </w:r>
            <w:proofErr w:type="spellStart"/>
            <w:r w:rsidRPr="007B067D">
              <w:rPr>
                <w:rFonts w:asciiTheme="majorHAnsi" w:hAnsiTheme="majorHAnsi" w:cstheme="majorHAnsi"/>
              </w:rPr>
              <w:t>barreira</w:t>
            </w:r>
            <w:proofErr w:type="spellEnd"/>
            <w:r w:rsidRPr="007B067D">
              <w:rPr>
                <w:rFonts w:asciiTheme="majorHAnsi" w:hAnsiTheme="majorHAnsi" w:cstheme="majorHAnsi"/>
              </w:rPr>
              <w:t xml:space="preserve">: 17% de </w:t>
            </w:r>
            <w:proofErr w:type="spellStart"/>
            <w:r w:rsidRPr="007B067D">
              <w:rPr>
                <w:rFonts w:asciiTheme="majorHAnsi" w:hAnsiTheme="majorHAnsi" w:cstheme="majorHAnsi"/>
              </w:rPr>
              <w:t>Índice</w:t>
            </w:r>
            <w:proofErr w:type="spellEnd"/>
            <w:r w:rsidRPr="007B067D">
              <w:rPr>
                <w:rFonts w:asciiTheme="majorHAnsi" w:hAnsiTheme="majorHAnsi" w:cstheme="majorHAnsi"/>
              </w:rPr>
              <w:t xml:space="preserve"> de </w:t>
            </w:r>
            <w:proofErr w:type="spellStart"/>
            <w:r w:rsidRPr="007B067D">
              <w:rPr>
                <w:rFonts w:asciiTheme="majorHAnsi" w:hAnsiTheme="majorHAnsi" w:cstheme="majorHAnsi"/>
              </w:rPr>
              <w:t>Conciliação</w:t>
            </w:r>
            <w:proofErr w:type="spellEnd"/>
            <w:r w:rsidRPr="00CB7B5C">
              <w:rPr>
                <w:rFonts w:asciiTheme="majorHAnsi" w:hAnsiTheme="majorHAnsi" w:cstheme="majorHAnsi"/>
              </w:rPr>
              <w:t>.</w:t>
            </w:r>
          </w:p>
        </w:tc>
        <w:tc>
          <w:tcPr>
            <w:tcW w:w="2126" w:type="dxa"/>
            <w:tcBorders>
              <w:top w:val="single" w:sz="18" w:space="0" w:color="auto"/>
              <w:bottom w:val="single" w:sz="18" w:space="0" w:color="auto"/>
            </w:tcBorders>
            <w:shd w:val="clear" w:color="auto" w:fill="D9D9D9" w:themeFill="background1" w:themeFillShade="D9"/>
            <w:vAlign w:val="center"/>
          </w:tcPr>
          <w:p w:rsidR="0087435D" w:rsidRPr="00CB7B5C" w:rsidRDefault="0087435D" w:rsidP="0087435D">
            <w:pPr>
              <w:ind w:left="57"/>
              <w:rPr>
                <w:rFonts w:asciiTheme="majorHAnsi" w:hAnsiTheme="majorHAnsi" w:cstheme="majorHAnsi"/>
                <w:bCs/>
              </w:rPr>
            </w:pPr>
            <w:r w:rsidRPr="00CB7B5C">
              <w:rPr>
                <w:rFonts w:asciiTheme="majorHAnsi" w:hAnsiTheme="majorHAnsi" w:cstheme="majorHAnsi"/>
                <w:bCs/>
              </w:rPr>
              <w:t>Total</w:t>
            </w:r>
          </w:p>
        </w:tc>
        <w:tc>
          <w:tcPr>
            <w:tcW w:w="2126" w:type="dxa"/>
            <w:tcBorders>
              <w:top w:val="single" w:sz="18" w:space="0" w:color="auto"/>
              <w:bottom w:val="single" w:sz="18" w:space="0" w:color="auto"/>
            </w:tcBorders>
            <w:shd w:val="clear" w:color="auto" w:fill="D9D9D9" w:themeFill="background1" w:themeFillShade="D9"/>
            <w:vAlign w:val="center"/>
          </w:tcPr>
          <w:p w:rsidR="0087435D" w:rsidRPr="00CB7B5C" w:rsidRDefault="0087435D" w:rsidP="0087435D">
            <w:pPr>
              <w:ind w:left="57"/>
              <w:jc w:val="center"/>
              <w:rPr>
                <w:rFonts w:asciiTheme="majorHAnsi" w:hAnsiTheme="majorHAnsi" w:cstheme="majorHAnsi"/>
                <w:bCs/>
              </w:rPr>
            </w:pPr>
            <w:r w:rsidRPr="00CB7B5C">
              <w:rPr>
                <w:rFonts w:asciiTheme="majorHAnsi" w:hAnsiTheme="majorHAnsi" w:cstheme="majorHAnsi"/>
                <w:bCs/>
              </w:rPr>
              <w:t>100,00%</w:t>
            </w:r>
          </w:p>
        </w:tc>
      </w:tr>
      <w:tr w:rsidR="0087435D" w:rsidRPr="000E699B" w:rsidTr="0087435D">
        <w:trPr>
          <w:trHeight w:val="952"/>
        </w:trPr>
        <w:tc>
          <w:tcPr>
            <w:tcW w:w="5955" w:type="dxa"/>
            <w:vMerge w:val="restart"/>
            <w:tcBorders>
              <w:top w:val="single" w:sz="18" w:space="0" w:color="auto"/>
            </w:tcBorders>
            <w:shd w:val="clear" w:color="auto" w:fill="auto"/>
            <w:vAlign w:val="center"/>
          </w:tcPr>
          <w:p w:rsidR="0087435D" w:rsidRPr="0087435D" w:rsidRDefault="0087435D" w:rsidP="0087435D">
            <w:pPr>
              <w:ind w:left="57"/>
              <w:jc w:val="both"/>
              <w:rPr>
                <w:rFonts w:asciiTheme="majorHAnsi" w:hAnsiTheme="majorHAnsi" w:cstheme="majorHAnsi"/>
                <w:b/>
                <w:lang w:val="pt-BR"/>
              </w:rPr>
            </w:pPr>
            <w:r w:rsidRPr="0087435D">
              <w:rPr>
                <w:rFonts w:asciiTheme="majorHAnsi" w:hAnsiTheme="majorHAnsi" w:cstheme="majorHAnsi"/>
                <w:b/>
                <w:bCs/>
                <w:lang w:val="pt-BR"/>
              </w:rPr>
              <w:t xml:space="preserve">CNJ 4 - </w:t>
            </w:r>
            <w:r w:rsidRPr="0087435D">
              <w:rPr>
                <w:rFonts w:asciiTheme="majorHAnsi" w:hAnsiTheme="majorHAnsi" w:cstheme="majorHAnsi"/>
                <w:lang w:val="pt-BR"/>
              </w:rPr>
              <w:t xml:space="preserve">Identificar e julgar até 31/12/2025, 65% das ações penais relacionadas a crimes contra a Administração </w:t>
            </w:r>
            <w:proofErr w:type="gramStart"/>
            <w:r w:rsidRPr="0087435D">
              <w:rPr>
                <w:rFonts w:asciiTheme="majorHAnsi" w:hAnsiTheme="majorHAnsi" w:cstheme="majorHAnsi"/>
                <w:lang w:val="pt-BR"/>
              </w:rPr>
              <w:t>Pública,  distribuídas</w:t>
            </w:r>
            <w:proofErr w:type="gramEnd"/>
            <w:r w:rsidRPr="0087435D">
              <w:rPr>
                <w:rFonts w:asciiTheme="majorHAnsi" w:hAnsiTheme="majorHAnsi" w:cstheme="majorHAnsi"/>
                <w:lang w:val="pt-BR"/>
              </w:rPr>
              <w:t xml:space="preserve"> até 31/12/2021, em especial  corrupção ativa e passiva, peculato em geral e concussão e identificar e julgar até 26/10/2025, 100% das ações de improbidade administrativa distribuídas até 26/10/2021.</w:t>
            </w:r>
          </w:p>
        </w:tc>
        <w:tc>
          <w:tcPr>
            <w:tcW w:w="2126" w:type="dxa"/>
            <w:tcBorders>
              <w:top w:val="single" w:sz="18" w:space="0" w:color="auto"/>
              <w:bottom w:val="single" w:sz="4" w:space="0" w:color="auto"/>
            </w:tcBorders>
            <w:shd w:val="clear" w:color="auto" w:fill="auto"/>
            <w:vAlign w:val="center"/>
          </w:tcPr>
          <w:p w:rsidR="0087435D" w:rsidRPr="0087435D" w:rsidRDefault="0087435D" w:rsidP="0087435D">
            <w:pPr>
              <w:ind w:left="57"/>
              <w:rPr>
                <w:rFonts w:asciiTheme="majorHAnsi" w:hAnsiTheme="majorHAnsi" w:cstheme="majorHAnsi"/>
                <w:bCs/>
                <w:lang w:val="pt-BR"/>
              </w:rPr>
            </w:pPr>
            <w:r w:rsidRPr="0087435D">
              <w:rPr>
                <w:rFonts w:asciiTheme="majorHAnsi" w:hAnsiTheme="majorHAnsi" w:cstheme="majorHAnsi"/>
                <w:bCs/>
                <w:lang w:val="pt-BR"/>
              </w:rPr>
              <w:t>Crimes contra a Administração Pública</w:t>
            </w:r>
          </w:p>
        </w:tc>
        <w:tc>
          <w:tcPr>
            <w:tcW w:w="2126" w:type="dxa"/>
            <w:tcBorders>
              <w:top w:val="single" w:sz="18" w:space="0" w:color="auto"/>
              <w:bottom w:val="single" w:sz="4" w:space="0" w:color="auto"/>
            </w:tcBorders>
            <w:shd w:val="clear" w:color="auto" w:fill="auto"/>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142,82%</w:t>
            </w:r>
          </w:p>
        </w:tc>
      </w:tr>
      <w:tr w:rsidR="0087435D" w:rsidRPr="000E699B" w:rsidTr="0087435D">
        <w:trPr>
          <w:trHeight w:val="809"/>
        </w:trPr>
        <w:tc>
          <w:tcPr>
            <w:tcW w:w="5955" w:type="dxa"/>
            <w:vMerge/>
            <w:tcBorders>
              <w:bottom w:val="single" w:sz="18" w:space="0" w:color="auto"/>
            </w:tcBorders>
            <w:shd w:val="clear" w:color="auto" w:fill="auto"/>
            <w:vAlign w:val="center"/>
          </w:tcPr>
          <w:p w:rsidR="0087435D" w:rsidRPr="00CB7B5C" w:rsidRDefault="0087435D" w:rsidP="0087435D">
            <w:pPr>
              <w:ind w:left="57"/>
              <w:jc w:val="both"/>
              <w:rPr>
                <w:rFonts w:asciiTheme="majorHAnsi" w:hAnsiTheme="majorHAnsi" w:cstheme="majorHAnsi"/>
                <w:b/>
                <w:bCs/>
              </w:rPr>
            </w:pPr>
          </w:p>
        </w:tc>
        <w:tc>
          <w:tcPr>
            <w:tcW w:w="2126" w:type="dxa"/>
            <w:tcBorders>
              <w:top w:val="single" w:sz="4" w:space="0" w:color="auto"/>
            </w:tcBorders>
            <w:shd w:val="clear" w:color="auto" w:fill="auto"/>
            <w:vAlign w:val="center"/>
          </w:tcPr>
          <w:p w:rsidR="0087435D" w:rsidRPr="00CB7B5C" w:rsidRDefault="0087435D" w:rsidP="0087435D">
            <w:pPr>
              <w:ind w:left="57"/>
              <w:rPr>
                <w:rFonts w:asciiTheme="majorHAnsi" w:hAnsiTheme="majorHAnsi" w:cstheme="majorHAnsi"/>
                <w:bCs/>
              </w:rPr>
            </w:pPr>
            <w:proofErr w:type="spellStart"/>
            <w:r>
              <w:rPr>
                <w:rFonts w:asciiTheme="majorHAnsi" w:hAnsiTheme="majorHAnsi" w:cstheme="majorHAnsi"/>
                <w:bCs/>
              </w:rPr>
              <w:t>A</w:t>
            </w:r>
            <w:r w:rsidRPr="007B067D">
              <w:rPr>
                <w:rFonts w:asciiTheme="majorHAnsi" w:hAnsiTheme="majorHAnsi" w:cstheme="majorHAnsi"/>
                <w:bCs/>
              </w:rPr>
              <w:t>ções</w:t>
            </w:r>
            <w:proofErr w:type="spellEnd"/>
            <w:r w:rsidRPr="007B067D">
              <w:rPr>
                <w:rFonts w:asciiTheme="majorHAnsi" w:hAnsiTheme="majorHAnsi" w:cstheme="majorHAnsi"/>
                <w:bCs/>
              </w:rPr>
              <w:t xml:space="preserve"> de </w:t>
            </w:r>
            <w:proofErr w:type="spellStart"/>
            <w:r w:rsidRPr="007B067D">
              <w:rPr>
                <w:rFonts w:asciiTheme="majorHAnsi" w:hAnsiTheme="majorHAnsi" w:cstheme="majorHAnsi"/>
                <w:bCs/>
              </w:rPr>
              <w:t>improbidade</w:t>
            </w:r>
            <w:proofErr w:type="spellEnd"/>
            <w:r w:rsidRPr="007B067D">
              <w:rPr>
                <w:rFonts w:asciiTheme="majorHAnsi" w:hAnsiTheme="majorHAnsi" w:cstheme="majorHAnsi"/>
                <w:bCs/>
              </w:rPr>
              <w:t xml:space="preserve"> </w:t>
            </w:r>
            <w:proofErr w:type="spellStart"/>
            <w:r w:rsidRPr="007B067D">
              <w:rPr>
                <w:rFonts w:asciiTheme="majorHAnsi" w:hAnsiTheme="majorHAnsi" w:cstheme="majorHAnsi"/>
                <w:bCs/>
              </w:rPr>
              <w:t>administrativa</w:t>
            </w:r>
            <w:proofErr w:type="spellEnd"/>
          </w:p>
        </w:tc>
        <w:tc>
          <w:tcPr>
            <w:tcW w:w="2126" w:type="dxa"/>
            <w:tcBorders>
              <w:top w:val="single" w:sz="4" w:space="0" w:color="auto"/>
            </w:tcBorders>
            <w:shd w:val="clear" w:color="auto" w:fill="auto"/>
            <w:vAlign w:val="center"/>
          </w:tcPr>
          <w:p w:rsidR="0087435D" w:rsidRDefault="0087435D" w:rsidP="0087435D">
            <w:pPr>
              <w:ind w:left="57"/>
              <w:jc w:val="center"/>
              <w:rPr>
                <w:rFonts w:asciiTheme="majorHAnsi" w:hAnsiTheme="majorHAnsi" w:cstheme="majorHAnsi"/>
                <w:bCs/>
              </w:rPr>
            </w:pPr>
            <w:r>
              <w:rPr>
                <w:rFonts w:asciiTheme="majorHAnsi" w:hAnsiTheme="majorHAnsi" w:cstheme="majorHAnsi"/>
                <w:bCs/>
              </w:rPr>
              <w:t>73,18%</w:t>
            </w:r>
          </w:p>
        </w:tc>
      </w:tr>
      <w:tr w:rsidR="0087435D" w:rsidRPr="000E699B" w:rsidTr="0087435D">
        <w:trPr>
          <w:trHeight w:val="397"/>
        </w:trPr>
        <w:tc>
          <w:tcPr>
            <w:tcW w:w="5955" w:type="dxa"/>
            <w:tcBorders>
              <w:top w:val="single" w:sz="18" w:space="0" w:color="auto"/>
              <w:bottom w:val="single" w:sz="18" w:space="0" w:color="auto"/>
            </w:tcBorders>
            <w:shd w:val="clear" w:color="auto" w:fill="D9D9D9" w:themeFill="background1" w:themeFillShade="D9"/>
          </w:tcPr>
          <w:p w:rsidR="0087435D" w:rsidRPr="005B2639" w:rsidRDefault="0087435D" w:rsidP="0087435D">
            <w:pPr>
              <w:ind w:left="57"/>
              <w:jc w:val="both"/>
              <w:rPr>
                <w:rFonts w:asciiTheme="majorHAnsi" w:hAnsiTheme="majorHAnsi" w:cstheme="majorHAnsi"/>
                <w:bCs/>
              </w:rPr>
            </w:pPr>
            <w:r w:rsidRPr="0087435D">
              <w:rPr>
                <w:rFonts w:asciiTheme="majorHAnsi" w:hAnsiTheme="majorHAnsi" w:cstheme="majorHAnsi"/>
                <w:b/>
                <w:lang w:val="pt-BR"/>
              </w:rPr>
              <w:t xml:space="preserve">CNJ 5 – </w:t>
            </w:r>
            <w:r w:rsidRPr="0087435D">
              <w:rPr>
                <w:rFonts w:asciiTheme="majorHAnsi" w:hAnsiTheme="majorHAnsi" w:cstheme="majorHAnsi"/>
                <w:bCs/>
                <w:lang w:val="pt-BR"/>
              </w:rPr>
              <w:t xml:space="preserve">Reduzir em 0,5 ponto percentual a taxa de congestionamento líquida de processo de conhecimento, em relação a 2024. </w:t>
            </w:r>
            <w:proofErr w:type="spellStart"/>
            <w:r w:rsidRPr="007B067D">
              <w:rPr>
                <w:rFonts w:asciiTheme="majorHAnsi" w:hAnsiTheme="majorHAnsi" w:cstheme="majorHAnsi"/>
                <w:bCs/>
              </w:rPr>
              <w:t>Cláusula</w:t>
            </w:r>
            <w:proofErr w:type="spellEnd"/>
            <w:r w:rsidRPr="007B067D">
              <w:rPr>
                <w:rFonts w:asciiTheme="majorHAnsi" w:hAnsiTheme="majorHAnsi" w:cstheme="majorHAnsi"/>
                <w:bCs/>
              </w:rPr>
              <w:t xml:space="preserve"> de </w:t>
            </w:r>
            <w:proofErr w:type="spellStart"/>
            <w:r w:rsidRPr="007B067D">
              <w:rPr>
                <w:rFonts w:asciiTheme="majorHAnsi" w:hAnsiTheme="majorHAnsi" w:cstheme="majorHAnsi"/>
                <w:bCs/>
              </w:rPr>
              <w:t>barreira</w:t>
            </w:r>
            <w:proofErr w:type="spellEnd"/>
            <w:r w:rsidRPr="007B067D">
              <w:rPr>
                <w:rFonts w:asciiTheme="majorHAnsi" w:hAnsiTheme="majorHAnsi" w:cstheme="majorHAnsi"/>
                <w:bCs/>
              </w:rPr>
              <w:t>: 56%</w:t>
            </w:r>
            <w:r>
              <w:rPr>
                <w:rFonts w:asciiTheme="majorHAnsi" w:hAnsiTheme="majorHAnsi" w:cstheme="majorHAnsi"/>
                <w:bCs/>
              </w:rPr>
              <w:t>.</w:t>
            </w:r>
          </w:p>
        </w:tc>
        <w:tc>
          <w:tcPr>
            <w:tcW w:w="2126" w:type="dxa"/>
            <w:tcBorders>
              <w:top w:val="single" w:sz="18" w:space="0" w:color="auto"/>
              <w:bottom w:val="single" w:sz="8" w:space="0" w:color="auto"/>
            </w:tcBorders>
            <w:shd w:val="clear" w:color="auto" w:fill="D9D9D9" w:themeFill="background1" w:themeFillShade="D9"/>
            <w:vAlign w:val="center"/>
          </w:tcPr>
          <w:p w:rsidR="0087435D" w:rsidRPr="00CB7B5C" w:rsidRDefault="0087435D" w:rsidP="0087435D">
            <w:pPr>
              <w:ind w:left="57"/>
              <w:rPr>
                <w:rFonts w:asciiTheme="majorHAnsi" w:hAnsiTheme="majorHAnsi" w:cstheme="majorHAnsi"/>
                <w:bCs/>
              </w:rPr>
            </w:pPr>
            <w:r>
              <w:rPr>
                <w:rFonts w:asciiTheme="majorHAnsi" w:hAnsiTheme="majorHAnsi" w:cstheme="majorHAnsi"/>
                <w:bCs/>
              </w:rPr>
              <w:t>Total</w:t>
            </w:r>
          </w:p>
        </w:tc>
        <w:tc>
          <w:tcPr>
            <w:tcW w:w="2126" w:type="dxa"/>
            <w:tcBorders>
              <w:top w:val="single" w:sz="18" w:space="0" w:color="auto"/>
              <w:bottom w:val="single" w:sz="8" w:space="0" w:color="auto"/>
            </w:tcBorders>
            <w:shd w:val="clear" w:color="auto" w:fill="D9D9D9" w:themeFill="background1" w:themeFillShade="D9"/>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85,53%</w:t>
            </w:r>
          </w:p>
        </w:tc>
      </w:tr>
      <w:tr w:rsidR="0087435D" w:rsidRPr="000E699B" w:rsidTr="0087435D">
        <w:trPr>
          <w:trHeight w:val="397"/>
        </w:trPr>
        <w:tc>
          <w:tcPr>
            <w:tcW w:w="5955" w:type="dxa"/>
            <w:tcBorders>
              <w:top w:val="single" w:sz="18" w:space="0" w:color="auto"/>
              <w:bottom w:val="single" w:sz="18" w:space="0" w:color="auto"/>
            </w:tcBorders>
            <w:shd w:val="clear" w:color="auto" w:fill="FFFFFF" w:themeFill="background1"/>
          </w:tcPr>
          <w:p w:rsidR="0087435D" w:rsidRPr="0087435D" w:rsidRDefault="0087435D" w:rsidP="0087435D">
            <w:pPr>
              <w:ind w:left="57"/>
              <w:jc w:val="both"/>
              <w:rPr>
                <w:rFonts w:asciiTheme="majorHAnsi" w:hAnsiTheme="majorHAnsi" w:cstheme="majorHAnsi"/>
                <w:b/>
                <w:lang w:val="pt-BR"/>
              </w:rPr>
            </w:pPr>
            <w:r w:rsidRPr="0087435D">
              <w:rPr>
                <w:rFonts w:asciiTheme="majorHAnsi" w:hAnsiTheme="majorHAnsi" w:cstheme="majorHAnsi"/>
                <w:b/>
                <w:lang w:val="pt-BR"/>
              </w:rPr>
              <w:t xml:space="preserve">CNJ 6 - </w:t>
            </w:r>
            <w:r w:rsidRPr="0087435D">
              <w:rPr>
                <w:rFonts w:asciiTheme="majorHAnsi" w:hAnsiTheme="majorHAnsi" w:cstheme="majorHAnsi"/>
                <w:bCs/>
                <w:lang w:val="pt-BR"/>
              </w:rPr>
              <w:t>Identificar e julgar até 31/12/2025, 50% dos processos relacionados às ações ambientais distribuídos até 31/12/2024.</w:t>
            </w:r>
          </w:p>
        </w:tc>
        <w:tc>
          <w:tcPr>
            <w:tcW w:w="2126" w:type="dxa"/>
            <w:tcBorders>
              <w:top w:val="single" w:sz="18" w:space="0" w:color="auto"/>
              <w:bottom w:val="single" w:sz="18" w:space="0" w:color="auto"/>
            </w:tcBorders>
            <w:shd w:val="clear" w:color="auto" w:fill="FFFFFF" w:themeFill="background1"/>
            <w:vAlign w:val="center"/>
          </w:tcPr>
          <w:p w:rsidR="0087435D" w:rsidRPr="00CB7B5C" w:rsidRDefault="0087435D" w:rsidP="0087435D">
            <w:pPr>
              <w:ind w:left="57"/>
              <w:rPr>
                <w:rFonts w:asciiTheme="majorHAnsi" w:hAnsiTheme="majorHAnsi" w:cstheme="majorHAnsi"/>
                <w:bCs/>
              </w:rPr>
            </w:pPr>
            <w:r>
              <w:rPr>
                <w:rFonts w:asciiTheme="majorHAnsi" w:hAnsiTheme="majorHAnsi" w:cstheme="majorHAnsi"/>
                <w:bCs/>
              </w:rPr>
              <w:t>Total</w:t>
            </w:r>
          </w:p>
        </w:tc>
        <w:tc>
          <w:tcPr>
            <w:tcW w:w="2126" w:type="dxa"/>
            <w:tcBorders>
              <w:top w:val="single" w:sz="18" w:space="0" w:color="auto"/>
              <w:bottom w:val="single" w:sz="18" w:space="0" w:color="auto"/>
            </w:tcBorders>
            <w:shd w:val="clear" w:color="auto" w:fill="FFFFFF" w:themeFill="background1"/>
            <w:vAlign w:val="center"/>
          </w:tcPr>
          <w:p w:rsidR="0087435D" w:rsidRDefault="0087435D" w:rsidP="0087435D">
            <w:pPr>
              <w:ind w:left="57"/>
              <w:jc w:val="center"/>
              <w:rPr>
                <w:rFonts w:asciiTheme="majorHAnsi" w:hAnsiTheme="majorHAnsi" w:cstheme="majorHAnsi"/>
                <w:bCs/>
              </w:rPr>
            </w:pPr>
            <w:r>
              <w:rPr>
                <w:rFonts w:asciiTheme="majorHAnsi" w:hAnsiTheme="majorHAnsi" w:cstheme="majorHAnsi"/>
                <w:bCs/>
              </w:rPr>
              <w:t>90,88%</w:t>
            </w:r>
          </w:p>
        </w:tc>
      </w:tr>
      <w:tr w:rsidR="0087435D" w:rsidRPr="000E699B" w:rsidTr="0087435D">
        <w:trPr>
          <w:trHeight w:val="530"/>
        </w:trPr>
        <w:tc>
          <w:tcPr>
            <w:tcW w:w="5955" w:type="dxa"/>
            <w:vMerge w:val="restart"/>
            <w:tcBorders>
              <w:top w:val="single" w:sz="18" w:space="0" w:color="auto"/>
            </w:tcBorders>
            <w:shd w:val="clear" w:color="auto" w:fill="D9D9D9" w:themeFill="background1" w:themeFillShade="D9"/>
          </w:tcPr>
          <w:p w:rsidR="0087435D" w:rsidRPr="0087435D" w:rsidRDefault="0087435D" w:rsidP="0087435D">
            <w:pPr>
              <w:ind w:left="57"/>
              <w:jc w:val="both"/>
              <w:rPr>
                <w:rFonts w:asciiTheme="majorHAnsi" w:hAnsiTheme="majorHAnsi" w:cstheme="majorHAnsi"/>
                <w:b/>
                <w:lang w:val="pt-BR"/>
              </w:rPr>
            </w:pPr>
            <w:r w:rsidRPr="0087435D">
              <w:rPr>
                <w:rFonts w:asciiTheme="majorHAnsi" w:hAnsiTheme="majorHAnsi" w:cstheme="majorHAnsi"/>
                <w:b/>
                <w:lang w:val="pt-BR"/>
              </w:rPr>
              <w:lastRenderedPageBreak/>
              <w:t xml:space="preserve">CNJ 7 - </w:t>
            </w:r>
            <w:r w:rsidRPr="0087435D">
              <w:rPr>
                <w:rFonts w:asciiTheme="majorHAnsi" w:hAnsiTheme="majorHAnsi" w:cstheme="majorHAnsi"/>
                <w:bCs/>
                <w:lang w:val="pt-BR"/>
              </w:rPr>
              <w:t>Identificar e julgar até 31/12/2025, 50% dos processos relacionados aos direitos das comunidades indígenas e 50% dos processos relacionados aos direitos das comunidades quilombolas distribuídos até 31/12/2024.</w:t>
            </w:r>
          </w:p>
        </w:tc>
        <w:tc>
          <w:tcPr>
            <w:tcW w:w="2126" w:type="dxa"/>
            <w:tcBorders>
              <w:top w:val="single" w:sz="18" w:space="0" w:color="auto"/>
              <w:bottom w:val="single" w:sz="4" w:space="0" w:color="auto"/>
            </w:tcBorders>
            <w:shd w:val="clear" w:color="auto" w:fill="D9D9D9" w:themeFill="background1" w:themeFillShade="D9"/>
            <w:vAlign w:val="center"/>
          </w:tcPr>
          <w:p w:rsidR="0087435D" w:rsidRPr="00CB7B5C" w:rsidRDefault="0087435D" w:rsidP="0087435D">
            <w:pPr>
              <w:ind w:left="57"/>
              <w:rPr>
                <w:rFonts w:asciiTheme="majorHAnsi" w:hAnsiTheme="majorHAnsi" w:cstheme="majorHAnsi"/>
                <w:bCs/>
              </w:rPr>
            </w:pPr>
            <w:proofErr w:type="spellStart"/>
            <w:r>
              <w:rPr>
                <w:rFonts w:asciiTheme="majorHAnsi" w:hAnsiTheme="majorHAnsi" w:cstheme="majorHAnsi"/>
                <w:bCs/>
              </w:rPr>
              <w:t>C</w:t>
            </w:r>
            <w:r w:rsidRPr="007B067D">
              <w:rPr>
                <w:rFonts w:asciiTheme="majorHAnsi" w:hAnsiTheme="majorHAnsi" w:cstheme="majorHAnsi"/>
                <w:bCs/>
              </w:rPr>
              <w:t>omunidades</w:t>
            </w:r>
            <w:proofErr w:type="spellEnd"/>
            <w:r w:rsidRPr="007B067D">
              <w:rPr>
                <w:rFonts w:asciiTheme="majorHAnsi" w:hAnsiTheme="majorHAnsi" w:cstheme="majorHAnsi"/>
                <w:bCs/>
              </w:rPr>
              <w:t xml:space="preserve"> </w:t>
            </w:r>
            <w:proofErr w:type="spellStart"/>
            <w:r w:rsidRPr="007B067D">
              <w:rPr>
                <w:rFonts w:asciiTheme="majorHAnsi" w:hAnsiTheme="majorHAnsi" w:cstheme="majorHAnsi"/>
                <w:bCs/>
              </w:rPr>
              <w:t>indígenas</w:t>
            </w:r>
            <w:proofErr w:type="spellEnd"/>
          </w:p>
        </w:tc>
        <w:tc>
          <w:tcPr>
            <w:tcW w:w="2126" w:type="dxa"/>
            <w:tcBorders>
              <w:top w:val="single" w:sz="18" w:space="0" w:color="auto"/>
              <w:bottom w:val="single" w:sz="4" w:space="0" w:color="auto"/>
            </w:tcBorders>
            <w:shd w:val="clear" w:color="auto" w:fill="D9D9D9" w:themeFill="background1" w:themeFillShade="D9"/>
            <w:vAlign w:val="center"/>
          </w:tcPr>
          <w:p w:rsidR="0087435D" w:rsidRDefault="0087435D" w:rsidP="0087435D">
            <w:pPr>
              <w:ind w:left="57"/>
              <w:jc w:val="center"/>
              <w:rPr>
                <w:rFonts w:asciiTheme="majorHAnsi" w:hAnsiTheme="majorHAnsi" w:cstheme="majorHAnsi"/>
                <w:bCs/>
              </w:rPr>
            </w:pPr>
            <w:r>
              <w:rPr>
                <w:rFonts w:asciiTheme="majorHAnsi" w:hAnsiTheme="majorHAnsi" w:cstheme="majorHAnsi"/>
                <w:bCs/>
              </w:rPr>
              <w:t>120,00%</w:t>
            </w:r>
          </w:p>
        </w:tc>
      </w:tr>
      <w:tr w:rsidR="0087435D" w:rsidRPr="000E699B" w:rsidTr="0087435D">
        <w:trPr>
          <w:trHeight w:val="397"/>
        </w:trPr>
        <w:tc>
          <w:tcPr>
            <w:tcW w:w="5955" w:type="dxa"/>
            <w:vMerge/>
            <w:tcBorders>
              <w:bottom w:val="single" w:sz="18" w:space="0" w:color="auto"/>
            </w:tcBorders>
            <w:shd w:val="clear" w:color="auto" w:fill="D9D9D9" w:themeFill="background1" w:themeFillShade="D9"/>
          </w:tcPr>
          <w:p w:rsidR="0087435D" w:rsidRDefault="0087435D" w:rsidP="0087435D">
            <w:pPr>
              <w:ind w:left="57"/>
              <w:jc w:val="both"/>
              <w:rPr>
                <w:rFonts w:asciiTheme="majorHAnsi" w:hAnsiTheme="majorHAnsi" w:cstheme="majorHAnsi"/>
                <w:b/>
              </w:rPr>
            </w:pPr>
          </w:p>
        </w:tc>
        <w:tc>
          <w:tcPr>
            <w:tcW w:w="2126" w:type="dxa"/>
            <w:tcBorders>
              <w:top w:val="single" w:sz="4" w:space="0" w:color="auto"/>
              <w:bottom w:val="single" w:sz="8" w:space="0" w:color="auto"/>
            </w:tcBorders>
            <w:shd w:val="clear" w:color="auto" w:fill="D9D9D9" w:themeFill="background1" w:themeFillShade="D9"/>
            <w:vAlign w:val="center"/>
          </w:tcPr>
          <w:p w:rsidR="0087435D" w:rsidRPr="00CB7B5C" w:rsidRDefault="0087435D" w:rsidP="0087435D">
            <w:pPr>
              <w:ind w:left="57"/>
              <w:rPr>
                <w:rFonts w:asciiTheme="majorHAnsi" w:hAnsiTheme="majorHAnsi" w:cstheme="majorHAnsi"/>
                <w:bCs/>
              </w:rPr>
            </w:pPr>
            <w:proofErr w:type="spellStart"/>
            <w:r>
              <w:rPr>
                <w:rFonts w:asciiTheme="majorHAnsi" w:hAnsiTheme="majorHAnsi" w:cstheme="majorHAnsi"/>
                <w:bCs/>
              </w:rPr>
              <w:t>C</w:t>
            </w:r>
            <w:r w:rsidRPr="007B067D">
              <w:rPr>
                <w:rFonts w:asciiTheme="majorHAnsi" w:hAnsiTheme="majorHAnsi" w:cstheme="majorHAnsi"/>
                <w:bCs/>
              </w:rPr>
              <w:t>omunidades</w:t>
            </w:r>
            <w:proofErr w:type="spellEnd"/>
            <w:r w:rsidRPr="007B067D">
              <w:rPr>
                <w:rFonts w:asciiTheme="majorHAnsi" w:hAnsiTheme="majorHAnsi" w:cstheme="majorHAnsi"/>
                <w:bCs/>
              </w:rPr>
              <w:t xml:space="preserve"> </w:t>
            </w:r>
            <w:proofErr w:type="spellStart"/>
            <w:r w:rsidRPr="007B067D">
              <w:rPr>
                <w:rFonts w:asciiTheme="majorHAnsi" w:hAnsiTheme="majorHAnsi" w:cstheme="majorHAnsi"/>
                <w:bCs/>
              </w:rPr>
              <w:t>quilombolas</w:t>
            </w:r>
            <w:proofErr w:type="spellEnd"/>
          </w:p>
        </w:tc>
        <w:tc>
          <w:tcPr>
            <w:tcW w:w="2126" w:type="dxa"/>
            <w:tcBorders>
              <w:top w:val="single" w:sz="4" w:space="0" w:color="auto"/>
              <w:bottom w:val="single" w:sz="8" w:space="0" w:color="auto"/>
            </w:tcBorders>
            <w:shd w:val="clear" w:color="auto" w:fill="D9D9D9" w:themeFill="background1" w:themeFillShade="D9"/>
            <w:vAlign w:val="center"/>
          </w:tcPr>
          <w:p w:rsidR="0087435D" w:rsidRDefault="0087435D" w:rsidP="0087435D">
            <w:pPr>
              <w:ind w:left="57"/>
              <w:jc w:val="center"/>
              <w:rPr>
                <w:rFonts w:asciiTheme="majorHAnsi" w:hAnsiTheme="majorHAnsi" w:cstheme="majorHAnsi"/>
                <w:bCs/>
              </w:rPr>
            </w:pPr>
            <w:r>
              <w:rPr>
                <w:rFonts w:asciiTheme="majorHAnsi" w:hAnsiTheme="majorHAnsi" w:cstheme="majorHAnsi"/>
                <w:bCs/>
              </w:rPr>
              <w:t>100,00%</w:t>
            </w:r>
          </w:p>
        </w:tc>
      </w:tr>
      <w:tr w:rsidR="0087435D" w:rsidRPr="000E699B" w:rsidTr="0087435D">
        <w:trPr>
          <w:trHeight w:val="397"/>
        </w:trPr>
        <w:tc>
          <w:tcPr>
            <w:tcW w:w="5955" w:type="dxa"/>
            <w:vMerge w:val="restart"/>
            <w:tcBorders>
              <w:top w:val="single" w:sz="18" w:space="0" w:color="auto"/>
              <w:bottom w:val="single" w:sz="18" w:space="0" w:color="auto"/>
            </w:tcBorders>
            <w:shd w:val="clear" w:color="auto" w:fill="FFFFFF" w:themeFill="background1"/>
          </w:tcPr>
          <w:p w:rsidR="0087435D" w:rsidRPr="0087435D" w:rsidRDefault="0087435D" w:rsidP="0087435D">
            <w:pPr>
              <w:ind w:left="57"/>
              <w:jc w:val="both"/>
              <w:rPr>
                <w:rFonts w:asciiTheme="majorHAnsi" w:hAnsiTheme="majorHAnsi" w:cstheme="majorHAnsi"/>
                <w:b/>
                <w:lang w:val="pt-BR"/>
              </w:rPr>
            </w:pPr>
            <w:r w:rsidRPr="0087435D">
              <w:rPr>
                <w:rFonts w:asciiTheme="majorHAnsi" w:hAnsiTheme="majorHAnsi" w:cstheme="majorHAnsi"/>
                <w:b/>
                <w:lang w:val="pt-BR"/>
              </w:rPr>
              <w:t>CNJ 8</w:t>
            </w:r>
            <w:r w:rsidRPr="0087435D">
              <w:rPr>
                <w:rFonts w:asciiTheme="majorHAnsi" w:hAnsiTheme="majorHAnsi" w:cstheme="majorHAnsi"/>
                <w:bCs/>
                <w:lang w:val="pt-BR"/>
              </w:rPr>
              <w:t xml:space="preserve"> - Identificar e julgar até 31/12/2025, 75% dos casos de feminicídio distribuídos até 31/12/2023 e 90% dos casos de violência doméstica e familiar contra a mulher distribuídos até 31/12/2023.</w:t>
            </w:r>
          </w:p>
        </w:tc>
        <w:tc>
          <w:tcPr>
            <w:tcW w:w="2126" w:type="dxa"/>
            <w:tcBorders>
              <w:top w:val="single" w:sz="18" w:space="0" w:color="auto"/>
              <w:bottom w:val="single" w:sz="8" w:space="0" w:color="auto"/>
            </w:tcBorders>
            <w:shd w:val="clear" w:color="auto" w:fill="FFFFFF" w:themeFill="background1"/>
            <w:vAlign w:val="center"/>
          </w:tcPr>
          <w:p w:rsidR="0087435D" w:rsidRPr="00CB7B5C" w:rsidRDefault="0087435D" w:rsidP="0087435D">
            <w:pPr>
              <w:ind w:left="57"/>
              <w:rPr>
                <w:rFonts w:asciiTheme="majorHAnsi" w:hAnsiTheme="majorHAnsi" w:cstheme="majorHAnsi"/>
                <w:bCs/>
              </w:rPr>
            </w:pPr>
            <w:proofErr w:type="spellStart"/>
            <w:r w:rsidRPr="00CB7B5C">
              <w:rPr>
                <w:rFonts w:asciiTheme="majorHAnsi" w:hAnsiTheme="majorHAnsi" w:cstheme="majorHAnsi"/>
                <w:bCs/>
              </w:rPr>
              <w:t>Violência</w:t>
            </w:r>
            <w:proofErr w:type="spellEnd"/>
            <w:r w:rsidRPr="00CB7B5C">
              <w:rPr>
                <w:rFonts w:asciiTheme="majorHAnsi" w:hAnsiTheme="majorHAnsi" w:cstheme="majorHAnsi"/>
                <w:bCs/>
              </w:rPr>
              <w:t xml:space="preserve"> </w:t>
            </w:r>
            <w:proofErr w:type="spellStart"/>
            <w:r w:rsidRPr="00CB7B5C">
              <w:rPr>
                <w:rFonts w:asciiTheme="majorHAnsi" w:hAnsiTheme="majorHAnsi" w:cstheme="majorHAnsi"/>
                <w:bCs/>
              </w:rPr>
              <w:t>doméstica</w:t>
            </w:r>
            <w:proofErr w:type="spellEnd"/>
          </w:p>
        </w:tc>
        <w:tc>
          <w:tcPr>
            <w:tcW w:w="2126" w:type="dxa"/>
            <w:tcBorders>
              <w:top w:val="single" w:sz="18" w:space="0" w:color="auto"/>
              <w:bottom w:val="single" w:sz="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92,01%</w:t>
            </w:r>
          </w:p>
        </w:tc>
      </w:tr>
      <w:tr w:rsidR="0087435D" w:rsidRPr="000E699B" w:rsidTr="0087435D">
        <w:trPr>
          <w:trHeight w:val="397"/>
        </w:trPr>
        <w:tc>
          <w:tcPr>
            <w:tcW w:w="5955" w:type="dxa"/>
            <w:vMerge/>
            <w:tcBorders>
              <w:bottom w:val="single" w:sz="18" w:space="0" w:color="auto"/>
            </w:tcBorders>
            <w:shd w:val="clear" w:color="auto" w:fill="FFFFFF" w:themeFill="background1"/>
          </w:tcPr>
          <w:p w:rsidR="0087435D" w:rsidRPr="00CB7B5C" w:rsidRDefault="0087435D" w:rsidP="0087435D">
            <w:pPr>
              <w:ind w:left="57"/>
              <w:jc w:val="both"/>
              <w:rPr>
                <w:rFonts w:asciiTheme="majorHAnsi" w:hAnsiTheme="majorHAnsi" w:cstheme="majorHAnsi"/>
                <w:bCs/>
              </w:rPr>
            </w:pPr>
          </w:p>
        </w:tc>
        <w:tc>
          <w:tcPr>
            <w:tcW w:w="2126" w:type="dxa"/>
            <w:tcBorders>
              <w:bottom w:val="single" w:sz="18" w:space="0" w:color="auto"/>
            </w:tcBorders>
            <w:shd w:val="clear" w:color="auto" w:fill="FFFFFF" w:themeFill="background1"/>
            <w:vAlign w:val="center"/>
          </w:tcPr>
          <w:p w:rsidR="0087435D" w:rsidRPr="00CB7B5C" w:rsidRDefault="0087435D" w:rsidP="0087435D">
            <w:pPr>
              <w:ind w:left="57"/>
              <w:jc w:val="both"/>
              <w:rPr>
                <w:rFonts w:asciiTheme="majorHAnsi" w:hAnsiTheme="majorHAnsi" w:cstheme="majorHAnsi"/>
                <w:bCs/>
              </w:rPr>
            </w:pPr>
            <w:proofErr w:type="spellStart"/>
            <w:r w:rsidRPr="00CB7B5C">
              <w:rPr>
                <w:rFonts w:asciiTheme="majorHAnsi" w:hAnsiTheme="majorHAnsi" w:cstheme="majorHAnsi"/>
                <w:bCs/>
              </w:rPr>
              <w:t>Feminicídio</w:t>
            </w:r>
            <w:proofErr w:type="spellEnd"/>
          </w:p>
        </w:tc>
        <w:tc>
          <w:tcPr>
            <w:tcW w:w="2126" w:type="dxa"/>
            <w:tcBorders>
              <w:bottom w:val="single" w:sz="18" w:space="0" w:color="auto"/>
            </w:tcBorders>
            <w:shd w:val="clear" w:color="auto" w:fill="FFFFFF" w:themeFill="background1"/>
            <w:vAlign w:val="center"/>
          </w:tcPr>
          <w:p w:rsidR="0087435D" w:rsidRPr="00CB7B5C" w:rsidRDefault="0087435D" w:rsidP="0087435D">
            <w:pPr>
              <w:ind w:left="57"/>
              <w:jc w:val="center"/>
              <w:rPr>
                <w:rFonts w:asciiTheme="majorHAnsi" w:hAnsiTheme="majorHAnsi" w:cstheme="majorHAnsi"/>
                <w:bCs/>
              </w:rPr>
            </w:pPr>
            <w:r>
              <w:rPr>
                <w:rFonts w:asciiTheme="majorHAnsi" w:hAnsiTheme="majorHAnsi" w:cstheme="majorHAnsi"/>
                <w:bCs/>
              </w:rPr>
              <w:t>109,71%</w:t>
            </w:r>
          </w:p>
        </w:tc>
      </w:tr>
      <w:tr w:rsidR="0087435D" w:rsidRPr="000E699B" w:rsidTr="0087435D">
        <w:trPr>
          <w:trHeight w:val="1020"/>
        </w:trPr>
        <w:tc>
          <w:tcPr>
            <w:tcW w:w="5955" w:type="dxa"/>
            <w:tcBorders>
              <w:top w:val="single" w:sz="18" w:space="0" w:color="auto"/>
              <w:bottom w:val="single" w:sz="18" w:space="0" w:color="auto"/>
            </w:tcBorders>
            <w:shd w:val="clear" w:color="auto" w:fill="D9D9D9" w:themeFill="background1" w:themeFillShade="D9"/>
            <w:vAlign w:val="center"/>
          </w:tcPr>
          <w:p w:rsidR="0087435D" w:rsidRPr="0087435D" w:rsidRDefault="0087435D" w:rsidP="00E24CFE">
            <w:pPr>
              <w:ind w:left="57"/>
              <w:jc w:val="both"/>
              <w:rPr>
                <w:rFonts w:asciiTheme="majorHAnsi" w:hAnsiTheme="majorHAnsi" w:cstheme="majorHAnsi"/>
                <w:bCs/>
                <w:lang w:val="pt-BR"/>
              </w:rPr>
            </w:pPr>
            <w:r w:rsidRPr="0087435D">
              <w:rPr>
                <w:rFonts w:asciiTheme="majorHAnsi" w:hAnsiTheme="majorHAnsi" w:cstheme="majorHAnsi"/>
                <w:b/>
                <w:bCs/>
                <w:lang w:val="pt-BR"/>
              </w:rPr>
              <w:t>CNJ 9</w:t>
            </w:r>
            <w:r w:rsidRPr="0087435D">
              <w:rPr>
                <w:rFonts w:asciiTheme="majorHAnsi" w:hAnsiTheme="majorHAnsi" w:cstheme="majorHAnsi"/>
                <w:bCs/>
                <w:lang w:val="pt-BR"/>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w="2126" w:type="dxa"/>
            <w:tcBorders>
              <w:top w:val="single" w:sz="18" w:space="0" w:color="auto"/>
              <w:bottom w:val="single" w:sz="18" w:space="0" w:color="auto"/>
            </w:tcBorders>
            <w:shd w:val="clear" w:color="auto" w:fill="D9D9D9" w:themeFill="background1" w:themeFillShade="D9"/>
            <w:vAlign w:val="center"/>
          </w:tcPr>
          <w:p w:rsidR="0087435D" w:rsidRPr="00CB7B5C" w:rsidRDefault="0087435D" w:rsidP="00E24CFE">
            <w:pPr>
              <w:ind w:left="57"/>
              <w:jc w:val="both"/>
              <w:rPr>
                <w:rFonts w:asciiTheme="majorHAnsi" w:hAnsiTheme="majorHAnsi" w:cstheme="majorHAnsi"/>
              </w:rPr>
            </w:pPr>
            <w:r w:rsidRPr="00CB7B5C">
              <w:rPr>
                <w:rFonts w:asciiTheme="majorHAnsi" w:hAnsiTheme="majorHAnsi" w:cstheme="majorHAnsi"/>
              </w:rPr>
              <w:t>Total</w:t>
            </w:r>
          </w:p>
        </w:tc>
        <w:tc>
          <w:tcPr>
            <w:tcW w:w="2126" w:type="dxa"/>
            <w:tcBorders>
              <w:top w:val="single" w:sz="18" w:space="0" w:color="auto"/>
              <w:bottom w:val="single" w:sz="18" w:space="0" w:color="auto"/>
            </w:tcBorders>
            <w:shd w:val="clear" w:color="auto" w:fill="D9D9D9" w:themeFill="background1" w:themeFillShade="D9"/>
            <w:vAlign w:val="center"/>
          </w:tcPr>
          <w:p w:rsidR="0087435D" w:rsidRPr="00CB7B5C" w:rsidRDefault="0087435D" w:rsidP="00E24CFE">
            <w:pPr>
              <w:ind w:left="57"/>
              <w:jc w:val="center"/>
              <w:rPr>
                <w:rFonts w:asciiTheme="majorHAnsi" w:hAnsiTheme="majorHAnsi" w:cstheme="majorHAnsi"/>
              </w:rPr>
            </w:pPr>
            <w:r>
              <w:rPr>
                <w:rFonts w:asciiTheme="majorHAnsi" w:hAnsiTheme="majorHAnsi" w:cstheme="majorHAnsi"/>
              </w:rPr>
              <w:t>100,00%</w:t>
            </w:r>
          </w:p>
        </w:tc>
      </w:tr>
      <w:tr w:rsidR="0087435D" w:rsidRPr="000E699B" w:rsidTr="0087435D">
        <w:trPr>
          <w:trHeight w:val="535"/>
        </w:trPr>
        <w:tc>
          <w:tcPr>
            <w:tcW w:w="5955" w:type="dxa"/>
            <w:vMerge w:val="restart"/>
            <w:tcBorders>
              <w:top w:val="single" w:sz="18" w:space="0" w:color="auto"/>
            </w:tcBorders>
            <w:shd w:val="clear" w:color="auto" w:fill="auto"/>
            <w:vAlign w:val="center"/>
          </w:tcPr>
          <w:p w:rsidR="0087435D" w:rsidRPr="0087435D" w:rsidRDefault="0087435D" w:rsidP="00E24CFE">
            <w:pPr>
              <w:ind w:left="57"/>
              <w:jc w:val="both"/>
              <w:rPr>
                <w:rFonts w:asciiTheme="majorHAnsi" w:hAnsiTheme="majorHAnsi" w:cstheme="majorHAnsi"/>
                <w:b/>
                <w:bCs/>
                <w:lang w:val="pt-BR"/>
              </w:rPr>
            </w:pPr>
            <w:r w:rsidRPr="0087435D">
              <w:rPr>
                <w:rFonts w:asciiTheme="majorHAnsi" w:hAnsiTheme="majorHAnsi" w:cstheme="majorHAnsi"/>
                <w:b/>
                <w:bCs/>
                <w:lang w:val="pt-BR"/>
              </w:rPr>
              <w:t xml:space="preserve">CNJ 10 - </w:t>
            </w:r>
            <w:r w:rsidRPr="0087435D">
              <w:rPr>
                <w:rFonts w:asciiTheme="majorHAnsi" w:hAnsiTheme="majorHAnsi" w:cstheme="majorHAnsi"/>
                <w:bCs/>
                <w:lang w:val="pt-BR"/>
              </w:rPr>
              <w:t>Identificar e julgar, até 31/12/2025, no 1º grau, 90% e no 2º grau, 100% dos processos em fase de conhecimento, nas competências da Infância e Juventude cível e de apuração de ato infracional, distribuídos até 31/12/2023 nas respectivas instâncias.</w:t>
            </w:r>
          </w:p>
        </w:tc>
        <w:tc>
          <w:tcPr>
            <w:tcW w:w="2126" w:type="dxa"/>
            <w:tcBorders>
              <w:top w:val="single" w:sz="18" w:space="0" w:color="auto"/>
              <w:bottom w:val="single" w:sz="8" w:space="0" w:color="auto"/>
            </w:tcBorders>
            <w:shd w:val="clear" w:color="auto" w:fill="auto"/>
            <w:vAlign w:val="center"/>
          </w:tcPr>
          <w:p w:rsidR="0087435D" w:rsidRPr="00CB7B5C" w:rsidRDefault="0087435D" w:rsidP="00E24CFE">
            <w:pPr>
              <w:ind w:left="57"/>
              <w:jc w:val="both"/>
              <w:rPr>
                <w:rFonts w:asciiTheme="majorHAnsi" w:hAnsiTheme="majorHAnsi" w:cstheme="majorHAnsi"/>
              </w:rPr>
            </w:pPr>
            <w:r>
              <w:rPr>
                <w:rFonts w:asciiTheme="majorHAnsi" w:hAnsiTheme="majorHAnsi" w:cstheme="majorHAnsi"/>
              </w:rPr>
              <w:t>1º Grau</w:t>
            </w:r>
          </w:p>
        </w:tc>
        <w:tc>
          <w:tcPr>
            <w:tcW w:w="2126" w:type="dxa"/>
            <w:tcBorders>
              <w:top w:val="single" w:sz="18" w:space="0" w:color="auto"/>
            </w:tcBorders>
            <w:shd w:val="clear" w:color="auto" w:fill="auto"/>
            <w:vAlign w:val="center"/>
          </w:tcPr>
          <w:p w:rsidR="0087435D" w:rsidRPr="00CB7B5C" w:rsidRDefault="0087435D" w:rsidP="00E24CFE">
            <w:pPr>
              <w:ind w:left="57"/>
              <w:jc w:val="center"/>
              <w:rPr>
                <w:rFonts w:asciiTheme="majorHAnsi" w:hAnsiTheme="majorHAnsi" w:cstheme="majorHAnsi"/>
              </w:rPr>
            </w:pPr>
            <w:r>
              <w:rPr>
                <w:rFonts w:asciiTheme="majorHAnsi" w:hAnsiTheme="majorHAnsi" w:cstheme="majorHAnsi"/>
              </w:rPr>
              <w:t>87,43%</w:t>
            </w:r>
          </w:p>
        </w:tc>
      </w:tr>
      <w:tr w:rsidR="0087435D" w:rsidRPr="000E699B" w:rsidTr="0087435D">
        <w:trPr>
          <w:trHeight w:val="535"/>
        </w:trPr>
        <w:tc>
          <w:tcPr>
            <w:tcW w:w="5955" w:type="dxa"/>
            <w:vMerge/>
            <w:shd w:val="clear" w:color="auto" w:fill="auto"/>
            <w:vAlign w:val="center"/>
          </w:tcPr>
          <w:p w:rsidR="0087435D" w:rsidRPr="00CB7B5C" w:rsidRDefault="0087435D" w:rsidP="00E24CFE">
            <w:pPr>
              <w:ind w:left="57"/>
              <w:jc w:val="both"/>
              <w:rPr>
                <w:rFonts w:asciiTheme="majorHAnsi" w:hAnsiTheme="majorHAnsi" w:cstheme="majorHAnsi"/>
                <w:b/>
                <w:bCs/>
              </w:rPr>
            </w:pPr>
          </w:p>
        </w:tc>
        <w:tc>
          <w:tcPr>
            <w:tcW w:w="2126" w:type="dxa"/>
            <w:tcBorders>
              <w:top w:val="single" w:sz="8" w:space="0" w:color="auto"/>
              <w:bottom w:val="single" w:sz="8" w:space="0" w:color="auto"/>
            </w:tcBorders>
            <w:shd w:val="clear" w:color="auto" w:fill="auto"/>
            <w:vAlign w:val="center"/>
          </w:tcPr>
          <w:p w:rsidR="0087435D" w:rsidRPr="00CB7B5C" w:rsidRDefault="0087435D" w:rsidP="00E24CFE">
            <w:pPr>
              <w:ind w:left="57"/>
              <w:jc w:val="both"/>
              <w:rPr>
                <w:rFonts w:asciiTheme="majorHAnsi" w:hAnsiTheme="majorHAnsi" w:cstheme="majorHAnsi"/>
              </w:rPr>
            </w:pPr>
            <w:r>
              <w:rPr>
                <w:rFonts w:asciiTheme="majorHAnsi" w:hAnsiTheme="majorHAnsi" w:cstheme="majorHAnsi"/>
              </w:rPr>
              <w:t>2º Grau</w:t>
            </w:r>
          </w:p>
        </w:tc>
        <w:tc>
          <w:tcPr>
            <w:tcW w:w="2126" w:type="dxa"/>
            <w:shd w:val="clear" w:color="auto" w:fill="auto"/>
            <w:vAlign w:val="center"/>
          </w:tcPr>
          <w:p w:rsidR="0087435D" w:rsidRPr="00CB7B5C" w:rsidRDefault="0087435D" w:rsidP="00E24CFE">
            <w:pPr>
              <w:ind w:left="57"/>
              <w:jc w:val="center"/>
              <w:rPr>
                <w:rFonts w:asciiTheme="majorHAnsi" w:hAnsiTheme="majorHAnsi" w:cstheme="majorHAnsi"/>
              </w:rPr>
            </w:pPr>
            <w:r>
              <w:rPr>
                <w:rFonts w:asciiTheme="majorHAnsi" w:hAnsiTheme="majorHAnsi" w:cstheme="majorHAnsi"/>
              </w:rPr>
              <w:t>85,17%</w:t>
            </w:r>
          </w:p>
        </w:tc>
      </w:tr>
    </w:tbl>
    <w:p w:rsidR="0087435D" w:rsidRPr="0087435D" w:rsidRDefault="0087435D" w:rsidP="0087435D">
      <w:pPr>
        <w:spacing w:after="360" w:line="240" w:lineRule="auto"/>
        <w:ind w:left="57"/>
        <w:jc w:val="both"/>
        <w:rPr>
          <w:rFonts w:asciiTheme="majorHAnsi" w:hAnsiTheme="majorHAnsi" w:cstheme="majorHAnsi"/>
          <w:i/>
          <w:iCs/>
          <w:lang w:val="pt-BR"/>
        </w:rPr>
      </w:pPr>
      <w:r w:rsidRPr="0087435D">
        <w:rPr>
          <w:rFonts w:asciiTheme="majorHAnsi" w:hAnsiTheme="majorHAnsi" w:cstheme="majorHAnsi"/>
          <w:i/>
          <w:iCs/>
          <w:lang w:val="pt-BR"/>
        </w:rPr>
        <w:t>Fonte: Painel CNJ – Metas do Poder Judiciário 2025, acessado em11/02/2026, com dados de referência de 31/12/2025.</w:t>
      </w:r>
    </w:p>
    <w:p w:rsidR="0087435D" w:rsidRDefault="0087435D" w:rsidP="0087435D">
      <w:pPr>
        <w:pStyle w:val="Default"/>
        <w:spacing w:line="360" w:lineRule="auto"/>
        <w:ind w:firstLine="720"/>
        <w:jc w:val="both"/>
      </w:pPr>
      <w:r w:rsidRPr="00B248BC">
        <w:t>Conforme orientação do Centro de Informação Institucional (CEINFO</w:t>
      </w:r>
      <w:r>
        <w:t>) do TJMG</w:t>
      </w:r>
      <w:r w:rsidRPr="00B248BC">
        <w:t xml:space="preserve">, </w:t>
      </w:r>
      <w:r>
        <w:t>foi utilizado,</w:t>
      </w:r>
      <w:r w:rsidRPr="00B248BC">
        <w:t xml:space="preserve"> como fonte para o monitoramento dos resultados</w:t>
      </w:r>
      <w:r>
        <w:t>,</w:t>
      </w:r>
      <w:r w:rsidRPr="00B248BC">
        <w:t xml:space="preserve"> o Painel de Metas Nacionais do Poder Judiciário 202</w:t>
      </w:r>
      <w:r>
        <w:t>5</w:t>
      </w:r>
      <w:r w:rsidRPr="00B248BC">
        <w:t xml:space="preserve"> </w:t>
      </w:r>
      <w:r>
        <w:t xml:space="preserve">disponibilizado pelo Conselho Nacional de Justiça - </w:t>
      </w:r>
      <w:r w:rsidRPr="00B248BC">
        <w:t xml:space="preserve">CNJ. Esta definição está de acordo com a necessidade de acompanhar os resultados das metas em todas as instâncias do Tribunal. </w:t>
      </w:r>
    </w:p>
    <w:p w:rsidR="0087435D" w:rsidRPr="0087435D" w:rsidRDefault="0087435D" w:rsidP="0087435D">
      <w:pPr>
        <w:pStyle w:val="PargrafodaLista"/>
        <w:spacing w:line="240" w:lineRule="auto"/>
        <w:ind w:left="1140"/>
        <w:jc w:val="both"/>
        <w:rPr>
          <w:rFonts w:asciiTheme="majorHAnsi" w:eastAsia="Times New Roman" w:hAnsiTheme="majorHAnsi" w:cstheme="majorHAnsi"/>
          <w:sz w:val="24"/>
          <w:szCs w:val="24"/>
          <w:lang w:val="pt-BR"/>
        </w:rPr>
      </w:pPr>
    </w:p>
    <w:p w:rsidR="0087435D" w:rsidRDefault="0087435D" w:rsidP="0087435D">
      <w:pPr>
        <w:pStyle w:val="PargrafodaLista"/>
        <w:numPr>
          <w:ilvl w:val="1"/>
          <w:numId w:val="11"/>
        </w:numPr>
        <w:spacing w:after="0"/>
        <w:outlineLvl w:val="1"/>
        <w:rPr>
          <w:rFonts w:asciiTheme="majorHAnsi" w:eastAsia="Times New Roman" w:hAnsiTheme="majorHAnsi" w:cstheme="majorHAnsi"/>
          <w:b/>
          <w:bCs/>
          <w:color w:val="E36C0A" w:themeColor="accent6" w:themeShade="BF"/>
          <w:sz w:val="28"/>
          <w:szCs w:val="28"/>
        </w:rPr>
      </w:pPr>
      <w:r w:rsidRPr="0087435D">
        <w:rPr>
          <w:rFonts w:asciiTheme="majorHAnsi" w:eastAsia="Times New Roman" w:hAnsiTheme="majorHAnsi" w:cstheme="majorHAnsi"/>
          <w:b/>
          <w:bCs/>
          <w:color w:val="E36C0A" w:themeColor="accent6" w:themeShade="BF"/>
          <w:sz w:val="28"/>
          <w:szCs w:val="28"/>
          <w:lang w:val="pt-BR"/>
        </w:rPr>
        <w:tab/>
        <w:t xml:space="preserve"> </w:t>
      </w:r>
      <w:bookmarkStart w:id="19" w:name="_Toc210662698"/>
      <w:bookmarkStart w:id="20" w:name="_Toc223442908"/>
      <w:r w:rsidRPr="00D02FB1">
        <w:rPr>
          <w:rFonts w:asciiTheme="majorHAnsi" w:eastAsia="Times New Roman" w:hAnsiTheme="majorHAnsi" w:cstheme="majorHAnsi"/>
          <w:b/>
          <w:bCs/>
          <w:color w:val="E36C0A" w:themeColor="accent6" w:themeShade="BF"/>
          <w:sz w:val="28"/>
          <w:szCs w:val="28"/>
        </w:rPr>
        <w:t xml:space="preserve">MONITORAMENTO DAS METAS </w:t>
      </w:r>
      <w:r>
        <w:rPr>
          <w:rFonts w:asciiTheme="majorHAnsi" w:eastAsia="Times New Roman" w:hAnsiTheme="majorHAnsi" w:cstheme="majorHAnsi"/>
          <w:b/>
          <w:bCs/>
          <w:color w:val="E36C0A" w:themeColor="accent6" w:themeShade="BF"/>
          <w:sz w:val="28"/>
          <w:szCs w:val="28"/>
        </w:rPr>
        <w:t>INSTITUCIONAIS</w:t>
      </w:r>
      <w:bookmarkEnd w:id="19"/>
      <w:bookmarkEnd w:id="20"/>
    </w:p>
    <w:p w:rsidR="0087435D" w:rsidRPr="0087435D" w:rsidRDefault="0087435D" w:rsidP="0087435D">
      <w:pPr>
        <w:spacing w:after="0"/>
        <w:rPr>
          <w:rFonts w:asciiTheme="majorHAnsi" w:eastAsia="Times New Roman" w:hAnsiTheme="majorHAnsi" w:cstheme="majorHAnsi"/>
          <w:b/>
          <w:bCs/>
          <w:color w:val="E36C0A" w:themeColor="accent6" w:themeShade="BF"/>
          <w:sz w:val="28"/>
          <w:szCs w:val="28"/>
        </w:rPr>
      </w:pPr>
    </w:p>
    <w:p w:rsidR="0087435D" w:rsidRPr="0087435D" w:rsidRDefault="0087435D" w:rsidP="0087435D">
      <w:pPr>
        <w:pStyle w:val="PargrafodaLista"/>
        <w:spacing w:line="360" w:lineRule="auto"/>
        <w:ind w:left="0" w:firstLine="720"/>
        <w:jc w:val="both"/>
        <w:rPr>
          <w:rFonts w:asciiTheme="majorHAnsi" w:hAnsiTheme="majorHAnsi" w:cstheme="majorHAnsi"/>
          <w:bCs/>
          <w:sz w:val="24"/>
          <w:lang w:val="pt-BR"/>
        </w:rPr>
      </w:pPr>
      <w:r w:rsidRPr="0087435D">
        <w:rPr>
          <w:rFonts w:asciiTheme="majorHAnsi" w:hAnsiTheme="majorHAnsi" w:cstheme="majorHAnsi"/>
          <w:bCs/>
          <w:sz w:val="24"/>
          <w:lang w:val="pt-BR"/>
        </w:rPr>
        <w:t>A seguir, os resultados das metas institucionais são apresentados de forma agrupada por superintendência na seguinte ordem: Presidência, 1ª Vice-Presidência, 2ª Vice-Presidência, 3ª Vice-Presidência e Corregedoria – Geral de Justiça.</w:t>
      </w:r>
    </w:p>
    <w:bookmarkEnd w:id="3"/>
    <w:p w:rsidR="00760DE1" w:rsidRPr="0087435D" w:rsidRDefault="0087435D" w:rsidP="0087435D">
      <w:pPr>
        <w:rPr>
          <w:rFonts w:ascii="Calibri" w:eastAsiaTheme="majorEastAsia" w:hAnsi="Calibri" w:cstheme="majorBidi"/>
          <w:b/>
          <w:bCs/>
          <w:color w:val="E36C0A"/>
          <w:sz w:val="28"/>
          <w:szCs w:val="28"/>
          <w:lang w:val="pt-BR"/>
        </w:rPr>
      </w:pPr>
      <w:r>
        <w:rPr>
          <w:rFonts w:ascii="Calibri" w:hAnsi="Calibri"/>
          <w:b/>
          <w:color w:val="E36C0A"/>
          <w:sz w:val="28"/>
        </w:rPr>
        <w:t>5. MONITORAMENTO DE METAS INSTITUCIONAIS</w:t>
      </w:r>
    </w:p>
    <w:p w:rsidR="00760DE1" w:rsidRDefault="00760DE1">
      <w:pPr>
        <w:sectPr w:rsidR="00760DE1">
          <w:headerReference w:type="default" r:id="rId17"/>
          <w:footerReference w:type="default" r:id="rId18"/>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1 - GARANTIA DOS DIREITOS FUNDAMENTAIS E DO ESTADO DEMOCRÁTICO DE DIREITO</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1.14</w:t>
            </w:r>
            <w:r w:rsidRPr="0087435D">
              <w:rPr>
                <w:rFonts w:ascii="Calibri" w:hAnsi="Calibri"/>
                <w:sz w:val="18"/>
                <w:lang w:val="pt-BR"/>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1" w:name="meta_PRESIDÊNCIA_0"/>
            <w:bookmarkEnd w:id="21"/>
            <w:r w:rsidRPr="0087435D">
              <w:rPr>
                <w:rFonts w:ascii="Calibri" w:hAnsi="Calibri"/>
                <w:b/>
                <w:sz w:val="18"/>
                <w:lang w:val="pt-BR"/>
              </w:rPr>
              <w:t>TJMG 111</w:t>
            </w:r>
            <w:r w:rsidRPr="0087435D">
              <w:rPr>
                <w:rFonts w:ascii="Calibri" w:hAnsi="Calibri"/>
                <w:sz w:val="18"/>
                <w:lang w:val="pt-BR"/>
              </w:rPr>
              <w:t xml:space="preserve"> - Executar, até dezembro de 2025, 80% (oitenta por cento) das ações previstas para o ano vigente no programa D.I.A (Programa de Desenvolvimento,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79</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O resultado informado corresponde ao percentual de atividades concluídas em relação às atividades previstas no cronograma da iniciativa para o ano de 2025. Abaixo, estão elencadas as principais ações finalizadas no período: </w:t>
            </w:r>
          </w:p>
          <w:p w:rsidR="00760DE1" w:rsidRPr="0087435D" w:rsidRDefault="0087435D">
            <w:pPr>
              <w:spacing w:after="0"/>
              <w:jc w:val="both"/>
              <w:rPr>
                <w:lang w:val="pt-BR"/>
              </w:rPr>
            </w:pPr>
            <w:r w:rsidRPr="0087435D">
              <w:rPr>
                <w:rFonts w:ascii="Calibri" w:hAnsi="Calibri"/>
                <w:sz w:val="20"/>
                <w:lang w:val="pt-BR"/>
              </w:rPr>
              <w:t xml:space="preserve">• Disponibilização da cartilha em braile; </w:t>
            </w:r>
          </w:p>
          <w:p w:rsidR="00760DE1" w:rsidRPr="0087435D" w:rsidRDefault="0087435D">
            <w:pPr>
              <w:spacing w:after="0"/>
              <w:jc w:val="both"/>
              <w:rPr>
                <w:lang w:val="pt-BR"/>
              </w:rPr>
            </w:pPr>
            <w:r w:rsidRPr="0087435D">
              <w:rPr>
                <w:rFonts w:ascii="Calibri" w:hAnsi="Calibri"/>
                <w:sz w:val="20"/>
                <w:lang w:val="pt-BR"/>
              </w:rPr>
              <w:t xml:space="preserve">• Elaboração do plano anual de comunicação para as campanhas de acessibilidade e inclusão </w:t>
            </w:r>
          </w:p>
          <w:p w:rsidR="00760DE1" w:rsidRPr="0087435D" w:rsidRDefault="0087435D">
            <w:pPr>
              <w:spacing w:after="0"/>
              <w:jc w:val="both"/>
              <w:rPr>
                <w:lang w:val="pt-BR"/>
              </w:rPr>
            </w:pPr>
            <w:r w:rsidRPr="0087435D">
              <w:rPr>
                <w:rFonts w:ascii="Calibri" w:hAnsi="Calibri"/>
                <w:sz w:val="20"/>
                <w:lang w:val="pt-BR"/>
              </w:rPr>
              <w:t xml:space="preserve">• Expansão do Projeto Amigo Down, em parceria com as </w:t>
            </w:r>
            <w:proofErr w:type="spellStart"/>
            <w:r w:rsidRPr="0087435D">
              <w:rPr>
                <w:rFonts w:ascii="Calibri" w:hAnsi="Calibri"/>
                <w:sz w:val="20"/>
                <w:lang w:val="pt-BR"/>
              </w:rPr>
              <w:t>APAEs</w:t>
            </w:r>
            <w:proofErr w:type="spellEnd"/>
            <w:r w:rsidRPr="0087435D">
              <w:rPr>
                <w:rFonts w:ascii="Calibri" w:hAnsi="Calibri"/>
                <w:sz w:val="20"/>
                <w:lang w:val="pt-BR"/>
              </w:rPr>
              <w:t xml:space="preserve"> para alcançar novas localidades. </w:t>
            </w:r>
          </w:p>
          <w:p w:rsidR="00760DE1" w:rsidRPr="0087435D" w:rsidRDefault="0087435D">
            <w:pPr>
              <w:spacing w:after="0"/>
              <w:jc w:val="both"/>
              <w:rPr>
                <w:lang w:val="pt-BR"/>
              </w:rPr>
            </w:pPr>
            <w:r w:rsidRPr="0087435D">
              <w:rPr>
                <w:rFonts w:ascii="Calibri" w:hAnsi="Calibri"/>
                <w:sz w:val="20"/>
                <w:lang w:val="pt-BR"/>
              </w:rPr>
              <w:t xml:space="preserve">• Em desenvolvimento o projeto Cordão de Girassol, uma iniciativa voltada ao reconhecimento facilitados de pessoas com deficiências ocultas. Os cordões de Girassol já estão disponíveis na Gerência de Saúde no Trabalho - </w:t>
            </w:r>
            <w:proofErr w:type="spellStart"/>
            <w:r w:rsidRPr="0087435D">
              <w:rPr>
                <w:rFonts w:ascii="Calibri" w:hAnsi="Calibri"/>
                <w:sz w:val="20"/>
                <w:lang w:val="pt-BR"/>
              </w:rPr>
              <w:t>Gersat</w:t>
            </w:r>
            <w:proofErr w:type="spellEnd"/>
            <w:r w:rsidRPr="0087435D">
              <w:rPr>
                <w:rFonts w:ascii="Calibri" w:hAnsi="Calibri"/>
                <w:sz w:val="20"/>
                <w:lang w:val="pt-BR"/>
              </w:rPr>
              <w:t xml:space="preserve">. </w:t>
            </w:r>
          </w:p>
          <w:p w:rsidR="00760DE1" w:rsidRPr="0087435D" w:rsidRDefault="0087435D">
            <w:pPr>
              <w:spacing w:after="0"/>
              <w:jc w:val="both"/>
              <w:rPr>
                <w:lang w:val="pt-BR"/>
              </w:rPr>
            </w:pPr>
            <w:r w:rsidRPr="0087435D">
              <w:rPr>
                <w:rFonts w:ascii="Calibri" w:hAnsi="Calibri"/>
                <w:sz w:val="20"/>
                <w:lang w:val="pt-BR"/>
              </w:rPr>
              <w:t xml:space="preserve">• Foram realizadas visitas às comarcas de Pará de Minas, Timóteo, Águas Formosas e Baependi para avaliar a acessibilidade dos prédios, visando identificar necessidades de melhorias ou adequações. Foram identificadas as necessidades de melhorias e adequações, as quais foram enviadas às áreas responsáveis para que adotem as providências cabíveis. </w:t>
            </w:r>
          </w:p>
          <w:p w:rsidR="00760DE1" w:rsidRPr="0087435D" w:rsidRDefault="0087435D">
            <w:pPr>
              <w:spacing w:after="0"/>
              <w:jc w:val="both"/>
              <w:rPr>
                <w:lang w:val="pt-BR"/>
              </w:rPr>
            </w:pPr>
            <w:r w:rsidRPr="0087435D">
              <w:rPr>
                <w:rFonts w:ascii="Calibri" w:hAnsi="Calibri"/>
                <w:sz w:val="20"/>
                <w:lang w:val="pt-BR"/>
              </w:rPr>
              <w:t xml:space="preserve">• Realização do Seminário Setembro Acessível: diálogos sobre inclusão no Judiciário. </w:t>
            </w:r>
          </w:p>
          <w:p w:rsidR="00760DE1" w:rsidRPr="0087435D" w:rsidRDefault="0087435D">
            <w:pPr>
              <w:spacing w:after="0"/>
              <w:jc w:val="both"/>
              <w:rPr>
                <w:lang w:val="pt-BR"/>
              </w:rPr>
            </w:pPr>
            <w:r w:rsidRPr="0087435D">
              <w:rPr>
                <w:rFonts w:ascii="Calibri" w:hAnsi="Calibri"/>
                <w:sz w:val="20"/>
                <w:lang w:val="pt-BR"/>
              </w:rPr>
              <w:t xml:space="preserve">• Foi publicada, na aba de Transparência do Portal TJMG, a Nota Técnica sobre Inclusão Social em Contratações Públicas. </w:t>
            </w:r>
          </w:p>
          <w:p w:rsidR="00760DE1" w:rsidRPr="0087435D" w:rsidRDefault="0087435D">
            <w:pPr>
              <w:spacing w:after="0"/>
              <w:jc w:val="both"/>
              <w:rPr>
                <w:lang w:val="pt-BR"/>
              </w:rPr>
            </w:pPr>
            <w:r w:rsidRPr="0087435D">
              <w:rPr>
                <w:rFonts w:ascii="Calibri" w:hAnsi="Calibri"/>
                <w:sz w:val="20"/>
                <w:lang w:val="pt-BR"/>
              </w:rPr>
              <w:t xml:space="preserve">• Foi realizado o estudo de viabilidade para a implantação de um balcão virtual acessível destinado ao atendimento de pessoas surdas. Posteriormente, o estudo foi consolidado e a proposta de instalação foi encaminhada à Diretoria Executiva de Suporte à Prestação Jurisdicional (DIRSUP). </w:t>
            </w:r>
          </w:p>
          <w:p w:rsidR="00760DE1" w:rsidRPr="0087435D" w:rsidRDefault="0087435D">
            <w:pPr>
              <w:spacing w:after="0"/>
              <w:jc w:val="both"/>
              <w:rPr>
                <w:lang w:val="pt-BR"/>
              </w:rPr>
            </w:pPr>
            <w:r w:rsidRPr="0087435D">
              <w:rPr>
                <w:rFonts w:ascii="Calibri" w:hAnsi="Calibri"/>
                <w:sz w:val="20"/>
                <w:lang w:val="pt-BR"/>
              </w:rPr>
              <w:t xml:space="preserve">• Concluído o estudo para a criação de uma iniciativa voltada para jovens adultos desligados de instituições de acolhimento, elaborou-se a proposta para a apresentação e implementação do projeto. </w:t>
            </w:r>
          </w:p>
          <w:p w:rsidR="00760DE1" w:rsidRPr="0087435D" w:rsidRDefault="0087435D">
            <w:pPr>
              <w:spacing w:after="0"/>
              <w:jc w:val="both"/>
              <w:rPr>
                <w:lang w:val="pt-BR"/>
              </w:rPr>
            </w:pPr>
            <w:r w:rsidRPr="0087435D">
              <w:rPr>
                <w:rFonts w:ascii="Calibri" w:hAnsi="Calibri"/>
                <w:sz w:val="20"/>
                <w:lang w:val="pt-BR"/>
              </w:rPr>
              <w:t>• Concluído o levantamento das necessidades de equipamentos básicos de informática e tecnologias assistivas, com a consequente elaboração de uma proposta de política sobre o tema. O documento já foi submetido à análise da área responsável.</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rsidTr="0087435D">
        <w:trPr>
          <w:trHeight w:val="584"/>
        </w:trPr>
        <w:tc>
          <w:tcPr>
            <w:tcW w:w="15353"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1 - GARANTIA DOS DIREITOS FUNDAMENTAIS E DO ESTADO DEMOCRÁTICO DE DIREITO</w:t>
            </w:r>
          </w:p>
        </w:tc>
      </w:tr>
      <w:tr w:rsidR="00760DE1" w:rsidTr="0087435D">
        <w:trPr>
          <w:trHeight w:val="584"/>
        </w:trPr>
        <w:tc>
          <w:tcPr>
            <w:tcW w:w="517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4637"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1487"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rsidTr="0087435D">
        <w:tc>
          <w:tcPr>
            <w:tcW w:w="5171"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1.16</w:t>
            </w:r>
            <w:r w:rsidRPr="0087435D">
              <w:rPr>
                <w:rFonts w:ascii="Calibri" w:hAnsi="Calibri"/>
                <w:sz w:val="18"/>
                <w:lang w:val="pt-BR"/>
              </w:rPr>
              <w:t xml:space="preserve"> - Número de pessoas beneficiadas com ações relacionadas à prevenção e combate à violência doméstica e familiar.</w:t>
            </w:r>
          </w:p>
        </w:tc>
        <w:tc>
          <w:tcPr>
            <w:tcW w:w="4637"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2" w:name="meta_PRESIDÊNCIA_1"/>
            <w:bookmarkEnd w:id="22"/>
            <w:r w:rsidRPr="0087435D">
              <w:rPr>
                <w:rFonts w:ascii="Calibri" w:hAnsi="Calibri"/>
                <w:b/>
                <w:sz w:val="18"/>
                <w:lang w:val="pt-BR"/>
              </w:rPr>
              <w:t>TJMG 124</w:t>
            </w:r>
            <w:r w:rsidRPr="0087435D">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41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COMSIV</w:t>
            </w:r>
          </w:p>
        </w:tc>
        <w:tc>
          <w:tcPr>
            <w:tcW w:w="130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07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55.266</w:t>
            </w:r>
          </w:p>
        </w:tc>
        <w:tc>
          <w:tcPr>
            <w:tcW w:w="410"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13</w:t>
            </w:r>
          </w:p>
        </w:tc>
      </w:tr>
      <w:tr w:rsidR="00760DE1" w:rsidRPr="0087435D" w:rsidTr="0087435D">
        <w:tc>
          <w:tcPr>
            <w:tcW w:w="15353"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sz w:val="19"/>
                <w:szCs w:val="19"/>
                <w:lang w:val="pt-BR"/>
              </w:rPr>
            </w:pPr>
            <w:r w:rsidRPr="0087435D">
              <w:rPr>
                <w:rFonts w:ascii="Calibri" w:hAnsi="Calibri"/>
                <w:b/>
                <w:sz w:val="19"/>
                <w:szCs w:val="19"/>
                <w:lang w:val="pt-BR"/>
              </w:rPr>
              <w:t xml:space="preserve">Situação: </w:t>
            </w:r>
            <w:r w:rsidRPr="0087435D">
              <w:rPr>
                <w:rFonts w:ascii="Calibri" w:hAnsi="Calibri"/>
                <w:sz w:val="19"/>
                <w:szCs w:val="19"/>
                <w:lang w:val="pt-BR"/>
              </w:rPr>
              <w:t xml:space="preserve">Em 2025, diversas ações foram executadas no âmbito do projeto vinculado a meta, resultando no alcance de 55.266 pessoas. Conjunto consolidado de ações e seus alcances: Ações de Grande Impacto e Visibilidade (47.536):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Ação conjunta no Estádio do Mineirão (Exibição de faixa/vídeo): 47.036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Ação de Conscientização e Distribuição de Cartilhas na Rodoviária de BH: 500 pessoas. Semanas da Justiça pela Paz em Casa – 29ª, 30ª e 31ª (1.774):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28 ações coordenadas, alcançando 1.774 pessoas diretamente, sendo: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16 palestras do Projeto Construindo Igualdades (Canteiros de obras e empresas);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04 palestras do Projeto Justiça Vai à Escola;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01 palestra do Projeto Conhecendo o Judiciário;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01 Ação Educacional Estratégica (EJEF);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06 ações de mobilização (Rodas de conversa e Cine Clube). Eventos Institucionais, Acadêmicos e Capacitações (2.895):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Ciclo de Encontros Procuradoria da Mulher (ALMG - 4 edições/YouTube): 1.193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Palestra "Entre o Silêncio e a Proteção" (Canal EJEF/YouTube): 890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V Encontro do Colégio de Ouvidorias Judiciais das Mulheres (COJUM): 255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Apresentação dos Projetos da COMSIV (Câmara Municipal BH): 100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Apresentações em Conferências Nacionais (Três Pontas e Alfenas): 132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Capacitações Técnicas (Camareiras SENAC, Oitiva de Vítimas e Rede de Proteção): 110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Apresentação da COMSIV na EJEF (Posse de novos juízes) e Reuniões de Comissões: 87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Palestras em Universidades (PUC Minas e Faculdades): 128 pessoas. Projeto Construindo Igualdades - Ações Contínuas (1.178):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18 palestras adicionais realizadas fora do período das Semanas pela Paz em Casa (incluindo empresas como Gontijo, </w:t>
            </w:r>
            <w:proofErr w:type="spellStart"/>
            <w:r w:rsidRPr="0087435D">
              <w:rPr>
                <w:rFonts w:ascii="Calibri" w:hAnsi="Calibri"/>
                <w:sz w:val="19"/>
                <w:szCs w:val="19"/>
                <w:lang w:val="pt-BR"/>
              </w:rPr>
              <w:t>Termotécnica</w:t>
            </w:r>
            <w:proofErr w:type="spellEnd"/>
            <w:r w:rsidRPr="0087435D">
              <w:rPr>
                <w:rFonts w:ascii="Calibri" w:hAnsi="Calibri"/>
                <w:sz w:val="19"/>
                <w:szCs w:val="19"/>
                <w:lang w:val="pt-BR"/>
              </w:rPr>
              <w:t xml:space="preserve">, Posto de Saúde, </w:t>
            </w:r>
            <w:proofErr w:type="spellStart"/>
            <w:r w:rsidRPr="0087435D">
              <w:rPr>
                <w:rFonts w:ascii="Calibri" w:hAnsi="Calibri"/>
                <w:sz w:val="19"/>
                <w:szCs w:val="19"/>
                <w:lang w:val="pt-BR"/>
              </w:rPr>
              <w:t>Sangel</w:t>
            </w:r>
            <w:proofErr w:type="spellEnd"/>
            <w:r w:rsidRPr="0087435D">
              <w:rPr>
                <w:rFonts w:ascii="Calibri" w:hAnsi="Calibri"/>
                <w:sz w:val="19"/>
                <w:szCs w:val="19"/>
                <w:lang w:val="pt-BR"/>
              </w:rPr>
              <w:t xml:space="preserve"> e </w:t>
            </w:r>
            <w:proofErr w:type="spellStart"/>
            <w:r w:rsidRPr="0087435D">
              <w:rPr>
                <w:rFonts w:ascii="Calibri" w:hAnsi="Calibri"/>
                <w:sz w:val="19"/>
                <w:szCs w:val="19"/>
                <w:lang w:val="pt-BR"/>
              </w:rPr>
              <w:t>Alkon</w:t>
            </w:r>
            <w:proofErr w:type="spellEnd"/>
            <w:r w:rsidRPr="0087435D">
              <w:rPr>
                <w:rFonts w:ascii="Calibri" w:hAnsi="Calibri"/>
                <w:sz w:val="19"/>
                <w:szCs w:val="19"/>
                <w:lang w:val="pt-BR"/>
              </w:rPr>
              <w:t xml:space="preserve">): 1.178 pessoas. Articulação de Rede, Lançamentos e Cultura (1.883):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Cine Clube "A Meia Luz" e "Histórias Cruzadas": 1.572 pessoas. </w:t>
            </w:r>
          </w:p>
          <w:p w:rsidR="00760DE1" w:rsidRPr="0087435D" w:rsidRDefault="0087435D">
            <w:pPr>
              <w:spacing w:after="0"/>
              <w:jc w:val="both"/>
              <w:rPr>
                <w:sz w:val="19"/>
                <w:szCs w:val="19"/>
                <w:lang w:val="pt-BR"/>
              </w:rPr>
            </w:pPr>
            <w:r w:rsidRPr="0087435D">
              <w:rPr>
                <w:rFonts w:ascii="Calibri" w:hAnsi="Calibri"/>
                <w:sz w:val="19"/>
                <w:szCs w:val="19"/>
                <w:lang w:val="pt-BR"/>
              </w:rPr>
              <w:t>• Ações em Comarcas (Ação na Praça/</w:t>
            </w:r>
            <w:proofErr w:type="spellStart"/>
            <w:r w:rsidRPr="0087435D">
              <w:rPr>
                <w:rFonts w:ascii="Calibri" w:hAnsi="Calibri"/>
                <w:sz w:val="19"/>
                <w:szCs w:val="19"/>
                <w:lang w:val="pt-BR"/>
              </w:rPr>
              <w:t>Itambacurí</w:t>
            </w:r>
            <w:proofErr w:type="spellEnd"/>
            <w:r w:rsidRPr="0087435D">
              <w:rPr>
                <w:rFonts w:ascii="Calibri" w:hAnsi="Calibri"/>
                <w:sz w:val="19"/>
                <w:szCs w:val="19"/>
                <w:lang w:val="pt-BR"/>
              </w:rPr>
              <w:t xml:space="preserve"> e Roda de Conversa Sevilha): 151 pessoas. </w:t>
            </w:r>
          </w:p>
          <w:p w:rsidR="00760DE1" w:rsidRPr="0087435D" w:rsidRDefault="0087435D">
            <w:pPr>
              <w:spacing w:after="0"/>
              <w:jc w:val="both"/>
              <w:rPr>
                <w:sz w:val="19"/>
                <w:szCs w:val="19"/>
                <w:lang w:val="pt-BR"/>
              </w:rPr>
            </w:pPr>
            <w:r w:rsidRPr="0087435D">
              <w:rPr>
                <w:rFonts w:ascii="Calibri" w:hAnsi="Calibri"/>
                <w:sz w:val="19"/>
                <w:szCs w:val="19"/>
                <w:lang w:val="pt-BR"/>
              </w:rPr>
              <w:t xml:space="preserve">• Inauguração da Casa da Mulher (Ibirité) e ACT Contagem: 190 pessoas. </w:t>
            </w:r>
          </w:p>
          <w:p w:rsidR="00760DE1" w:rsidRPr="0087435D" w:rsidRDefault="0087435D">
            <w:pPr>
              <w:spacing w:after="0"/>
              <w:jc w:val="both"/>
              <w:rPr>
                <w:sz w:val="19"/>
                <w:szCs w:val="19"/>
                <w:lang w:val="pt-BR"/>
              </w:rPr>
            </w:pPr>
            <w:r w:rsidRPr="0087435D">
              <w:rPr>
                <w:rFonts w:ascii="Calibri" w:hAnsi="Calibri"/>
                <w:sz w:val="19"/>
                <w:szCs w:val="19"/>
                <w:lang w:val="pt-BR"/>
              </w:rPr>
              <w:t>• Lançamentos de Cartilhas (</w:t>
            </w:r>
            <w:proofErr w:type="spellStart"/>
            <w:r w:rsidRPr="0087435D">
              <w:rPr>
                <w:rFonts w:ascii="Calibri" w:hAnsi="Calibri"/>
                <w:sz w:val="19"/>
                <w:szCs w:val="19"/>
                <w:lang w:val="pt-BR"/>
              </w:rPr>
              <w:t>UAILab</w:t>
            </w:r>
            <w:proofErr w:type="spellEnd"/>
            <w:r w:rsidRPr="0087435D">
              <w:rPr>
                <w:rFonts w:ascii="Calibri" w:hAnsi="Calibri"/>
                <w:sz w:val="19"/>
                <w:szCs w:val="19"/>
                <w:lang w:val="pt-BR"/>
              </w:rPr>
              <w:t xml:space="preserve"> e "Você não está sozinha"): 130 pessoas. </w:t>
            </w:r>
          </w:p>
          <w:p w:rsidR="00760DE1" w:rsidRPr="0087435D" w:rsidRDefault="0087435D">
            <w:pPr>
              <w:spacing w:after="0"/>
              <w:jc w:val="both"/>
              <w:rPr>
                <w:lang w:val="pt-BR"/>
              </w:rPr>
            </w:pPr>
            <w:r w:rsidRPr="0087435D">
              <w:rPr>
                <w:rFonts w:ascii="Calibri" w:hAnsi="Calibri"/>
                <w:sz w:val="20"/>
                <w:lang w:val="pt-BR"/>
              </w:rPr>
              <w:t xml:space="preserve">• </w:t>
            </w:r>
            <w:r w:rsidRPr="0087435D">
              <w:rPr>
                <w:rFonts w:ascii="Calibri" w:hAnsi="Calibri"/>
                <w:sz w:val="19"/>
                <w:szCs w:val="19"/>
                <w:lang w:val="pt-BR"/>
              </w:rPr>
              <w:t>Implantação do Grupo Reflexivo (</w:t>
            </w:r>
            <w:proofErr w:type="spellStart"/>
            <w:r w:rsidRPr="0087435D">
              <w:rPr>
                <w:rFonts w:ascii="Calibri" w:hAnsi="Calibri"/>
                <w:sz w:val="19"/>
                <w:szCs w:val="19"/>
                <w:lang w:val="pt-BR"/>
              </w:rPr>
              <w:t>Jequeri</w:t>
            </w:r>
            <w:proofErr w:type="spellEnd"/>
            <w:r w:rsidRPr="0087435D">
              <w:rPr>
                <w:rFonts w:ascii="Calibri" w:hAnsi="Calibri"/>
                <w:sz w:val="19"/>
                <w:szCs w:val="19"/>
                <w:lang w:val="pt-BR"/>
              </w:rPr>
              <w:t>): 20 pessoas.</w:t>
            </w:r>
          </w:p>
        </w:tc>
      </w:tr>
      <w:tr w:rsidR="00760DE1" w:rsidRPr="0087435D" w:rsidTr="0087435D">
        <w:trPr>
          <w:trHeight w:val="584"/>
        </w:trPr>
        <w:tc>
          <w:tcPr>
            <w:tcW w:w="15353"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lang w:val="pt-BR"/>
              </w:rPr>
              <w:lastRenderedPageBreak/>
              <w:br w:type="page"/>
            </w:r>
            <w:r w:rsidRPr="0087435D">
              <w:rPr>
                <w:rFonts w:ascii="Calibri" w:hAnsi="Calibri"/>
                <w:b/>
                <w:color w:val="FFFFFF"/>
                <w:lang w:val="pt-BR"/>
              </w:rPr>
              <w:t>1 - GARANTIA DOS DIREITOS FUNDAMENTAIS E DO ESTADO DEMOCRÁTICO DE DIREITO</w:t>
            </w:r>
          </w:p>
        </w:tc>
      </w:tr>
      <w:tr w:rsidR="00760DE1" w:rsidTr="0087435D">
        <w:trPr>
          <w:trHeight w:val="584"/>
        </w:trPr>
        <w:tc>
          <w:tcPr>
            <w:tcW w:w="517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4635"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1487"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rsidTr="0087435D">
        <w:tc>
          <w:tcPr>
            <w:tcW w:w="517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1.20</w:t>
            </w:r>
            <w:r w:rsidRPr="0087435D">
              <w:rPr>
                <w:rFonts w:ascii="Calibri" w:hAnsi="Calibri"/>
                <w:sz w:val="18"/>
                <w:lang w:val="pt-BR"/>
              </w:rPr>
              <w:t xml:space="preserve"> - Taxa de execução das entregas previstas na iniciativa Fóruns </w:t>
            </w:r>
            <w:proofErr w:type="spellStart"/>
            <w:r w:rsidRPr="0087435D">
              <w:rPr>
                <w:rFonts w:ascii="Calibri" w:hAnsi="Calibri"/>
                <w:sz w:val="18"/>
                <w:lang w:val="pt-BR"/>
              </w:rPr>
              <w:t>Dgitais</w:t>
            </w:r>
            <w:proofErr w:type="spellEnd"/>
            <w:r w:rsidRPr="0087435D">
              <w:rPr>
                <w:rFonts w:ascii="Calibri" w:hAnsi="Calibri"/>
                <w:sz w:val="18"/>
                <w:lang w:val="pt-BR"/>
              </w:rPr>
              <w:t>.</w:t>
            </w:r>
          </w:p>
        </w:tc>
        <w:tc>
          <w:tcPr>
            <w:tcW w:w="4635"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3" w:name="meta_PRESIDÊNCIA_2"/>
            <w:bookmarkEnd w:id="23"/>
            <w:r w:rsidRPr="0087435D">
              <w:rPr>
                <w:rFonts w:ascii="Calibri" w:hAnsi="Calibri"/>
                <w:b/>
                <w:sz w:val="18"/>
                <w:lang w:val="pt-BR"/>
              </w:rPr>
              <w:t>TJMG 131</w:t>
            </w:r>
            <w:r w:rsidRPr="0087435D">
              <w:rPr>
                <w:rFonts w:ascii="Calibri" w:hAnsi="Calibri"/>
                <w:sz w:val="18"/>
                <w:lang w:val="pt-BR"/>
              </w:rPr>
              <w:t xml:space="preserve"> - Executar 100% (cem por cento) das entregas relativas à validação do fluxo de implantação dos Fóruns Digitais e à alteração da Resolução 1.061/2023.</w:t>
            </w:r>
          </w:p>
        </w:tc>
        <w:tc>
          <w:tcPr>
            <w:tcW w:w="141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30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07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0%</w:t>
            </w:r>
          </w:p>
        </w:tc>
        <w:tc>
          <w:tcPr>
            <w:tcW w:w="410"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86</w:t>
            </w:r>
          </w:p>
        </w:tc>
      </w:tr>
      <w:tr w:rsidR="00760DE1" w:rsidRPr="0087435D" w:rsidTr="0087435D">
        <w:tc>
          <w:tcPr>
            <w:tcW w:w="15353"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w:t>
            </w:r>
            <w:proofErr w:type="gramStart"/>
            <w:r w:rsidRPr="0087435D">
              <w:rPr>
                <w:rFonts w:ascii="Calibri" w:hAnsi="Calibri"/>
                <w:sz w:val="20"/>
                <w:lang w:val="pt-BR"/>
              </w:rPr>
              <w:t>meta  TJMG</w:t>
            </w:r>
            <w:proofErr w:type="gramEnd"/>
            <w:r w:rsidRPr="0087435D">
              <w:rPr>
                <w:rFonts w:ascii="Calibri" w:hAnsi="Calibri"/>
                <w:sz w:val="20"/>
                <w:lang w:val="pt-BR"/>
              </w:rPr>
              <w:t xml:space="preserve"> 131 previu concluir, até dezembro de 2025, as entregas relativas à validação do fluxo de implantação dos Fóruns Digitais e à alteração da Resolução 1.061/2023 (Dispõe sobre a criação, a estrutura e o funcionamento dos Fóruns e </w:t>
            </w:r>
            <w:proofErr w:type="spellStart"/>
            <w:r w:rsidRPr="0087435D">
              <w:rPr>
                <w:rFonts w:ascii="Calibri" w:hAnsi="Calibri"/>
                <w:sz w:val="20"/>
                <w:lang w:val="pt-BR"/>
              </w:rPr>
              <w:t>CEJUSCs</w:t>
            </w:r>
            <w:proofErr w:type="spellEnd"/>
            <w:r w:rsidRPr="0087435D">
              <w:rPr>
                <w:rFonts w:ascii="Calibri" w:hAnsi="Calibri"/>
                <w:sz w:val="20"/>
                <w:lang w:val="pt-BR"/>
              </w:rPr>
              <w:t xml:space="preserve"> Digitais, no Poder Judiciário de Minas Gerais). Até dezembro de 2025, nenhuma das duas entregas havia sido concluída, embora apresentem um estágio de desenvolvimento avançado, de forma que o valor apurado da meta até o período foi de 0%. Em relação à “alteração da Resolução 1.061/2023</w:t>
            </w:r>
            <w:proofErr w:type="gramStart"/>
            <w:r w:rsidRPr="0087435D">
              <w:rPr>
                <w:rFonts w:ascii="Calibri" w:hAnsi="Calibri"/>
                <w:sz w:val="20"/>
                <w:lang w:val="pt-BR"/>
              </w:rPr>
              <w:t>”,  foi</w:t>
            </w:r>
            <w:proofErr w:type="gramEnd"/>
            <w:r w:rsidRPr="0087435D">
              <w:rPr>
                <w:rFonts w:ascii="Calibri" w:hAnsi="Calibri"/>
                <w:sz w:val="20"/>
                <w:lang w:val="pt-BR"/>
              </w:rPr>
              <w:t xml:space="preserve"> elaborada uma minuta de alteração do normativo, que está em análise pela Secretaria de Governança e Gestão Estratégica – SEGOVE, para, então, ser submetida à aprovação do Órgão Especial do TJMG para sua posterior publicação. Já no que diz respeito ao fluxo, dois processos de trabalho (Planejamento de Fóruns Digitais e Instalação de Fóruns Digitais) foram elaborados pela equipe do Centro de Gestão de Processos de Trabalho, Padronização e Qualidade - CEPROC ao longo de 2024 e submetidos às unidades envolvidas em outubro de 2024 para análise e proposição de adequação. Até maio de 2025, somente parte das áreas tinham apresentado sugestões, implicando atraso na entrega. Na intenção de retomar as discussões, no dia 26 de junho foi realizada reunião entre o CEPROC e as unidades responsáveis, ocasião em que se identificou a necessidade de novos ajustes e melhor detalhamento dos fluxos. As correções solicitadas pelas áreas foram realizadas e a nova versão foi submetida em agosto para validação da Secretaria de Governança e Gestão Estratégica – SEGOVE.</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0"/>
        <w:gridCol w:w="4638"/>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1 - GARANTIA DOS DIREITOS FUNDAMENTAIS E DO ESTADO DEMOCRÁTICO DE DIREITO</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1.17</w:t>
            </w:r>
            <w:r w:rsidRPr="0087435D">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4" w:name="meta_PRESIDÊNCIA_3"/>
            <w:bookmarkEnd w:id="24"/>
            <w:r w:rsidRPr="0087435D">
              <w:rPr>
                <w:rFonts w:ascii="Calibri" w:hAnsi="Calibri"/>
                <w:b/>
                <w:sz w:val="18"/>
                <w:lang w:val="pt-BR"/>
              </w:rPr>
              <w:t>TJMG 143</w:t>
            </w:r>
            <w:r w:rsidRPr="0087435D">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90</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692152" w:rsidRDefault="0087435D">
            <w:pPr>
              <w:spacing w:after="0"/>
              <w:jc w:val="both"/>
              <w:rPr>
                <w:rFonts w:ascii="Calibri" w:hAnsi="Calibri"/>
                <w:sz w:val="20"/>
                <w:lang w:val="pt-BR"/>
              </w:rPr>
            </w:pPr>
            <w:r w:rsidRPr="0087435D">
              <w:rPr>
                <w:rFonts w:ascii="Calibri" w:hAnsi="Calibri"/>
                <w:b/>
                <w:sz w:val="20"/>
                <w:lang w:val="pt-BR"/>
              </w:rPr>
              <w:t xml:space="preserve">Situação: </w:t>
            </w:r>
            <w:r w:rsidRPr="0087435D">
              <w:rPr>
                <w:rFonts w:ascii="Calibri" w:hAnsi="Calibri"/>
                <w:sz w:val="20"/>
                <w:lang w:val="pt-BR"/>
              </w:rPr>
              <w:t xml:space="preserve">Meta TJMG </w:t>
            </w:r>
            <w:proofErr w:type="gramStart"/>
            <w:r w:rsidRPr="0087435D">
              <w:rPr>
                <w:rFonts w:ascii="Calibri" w:hAnsi="Calibri"/>
                <w:sz w:val="20"/>
                <w:lang w:val="pt-BR"/>
              </w:rPr>
              <w:t>143 :</w:t>
            </w:r>
            <w:proofErr w:type="gramEnd"/>
            <w:r w:rsidRPr="0087435D">
              <w:rPr>
                <w:rFonts w:ascii="Calibri" w:hAnsi="Calibri"/>
                <w:sz w:val="20"/>
                <w:lang w:val="pt-BR"/>
              </w:rPr>
              <w:t xml:space="preserve"> aumentar, até 18/12/2025, em pelo menos 10% (dez por cento) o número de municípios que promovem o Programa Descubra.</w:t>
            </w:r>
          </w:p>
          <w:p w:rsidR="00692152" w:rsidRDefault="00692152">
            <w:pPr>
              <w:spacing w:after="0"/>
              <w:jc w:val="both"/>
              <w:rPr>
                <w:rFonts w:ascii="Calibri" w:hAnsi="Calibri"/>
                <w:sz w:val="20"/>
                <w:lang w:val="pt-BR"/>
              </w:rPr>
            </w:pPr>
          </w:p>
          <w:p w:rsidR="00692152" w:rsidRDefault="0087435D">
            <w:pPr>
              <w:spacing w:after="0"/>
              <w:jc w:val="both"/>
              <w:rPr>
                <w:rFonts w:ascii="Calibri" w:hAnsi="Calibri"/>
                <w:sz w:val="20"/>
                <w:lang w:val="pt-BR"/>
              </w:rPr>
            </w:pPr>
            <w:r w:rsidRPr="0087435D">
              <w:rPr>
                <w:rFonts w:ascii="Calibri" w:hAnsi="Calibri"/>
                <w:sz w:val="20"/>
                <w:lang w:val="pt-BR"/>
              </w:rPr>
              <w:t xml:space="preserve">Em relação à meta TJMG 143, considerando a adesão de 2 municípios (Ouro Preto e Timóteo) que promovem o Programa Descubra em um total </w:t>
            </w:r>
            <w:proofErr w:type="gramStart"/>
            <w:r w:rsidRPr="0087435D">
              <w:rPr>
                <w:rFonts w:ascii="Calibri" w:hAnsi="Calibri"/>
                <w:sz w:val="20"/>
                <w:lang w:val="pt-BR"/>
              </w:rPr>
              <w:t>de  21</w:t>
            </w:r>
            <w:proofErr w:type="gramEnd"/>
            <w:r w:rsidRPr="0087435D">
              <w:rPr>
                <w:rFonts w:ascii="Calibri" w:hAnsi="Calibri"/>
                <w:sz w:val="20"/>
                <w:lang w:val="pt-BR"/>
              </w:rPr>
              <w:t xml:space="preserve"> </w:t>
            </w:r>
            <w:proofErr w:type="spellStart"/>
            <w:r w:rsidRPr="0087435D">
              <w:rPr>
                <w:rFonts w:ascii="Calibri" w:hAnsi="Calibri"/>
                <w:sz w:val="20"/>
                <w:lang w:val="pt-BR"/>
              </w:rPr>
              <w:t>municipios</w:t>
            </w:r>
            <w:proofErr w:type="spellEnd"/>
            <w:r w:rsidRPr="0087435D">
              <w:rPr>
                <w:rFonts w:ascii="Calibri" w:hAnsi="Calibri"/>
                <w:sz w:val="20"/>
                <w:lang w:val="pt-BR"/>
              </w:rPr>
              <w:t xml:space="preserve"> ( referência em março de 2025) observa-se que a meta proposta foi alcançada. Para o ano de 2026 há manifestação de interesse dos municípios de Carandaí e </w:t>
            </w:r>
            <w:proofErr w:type="spellStart"/>
            <w:r w:rsidRPr="0087435D">
              <w:rPr>
                <w:rFonts w:ascii="Calibri" w:hAnsi="Calibri"/>
                <w:sz w:val="20"/>
                <w:lang w:val="pt-BR"/>
              </w:rPr>
              <w:t>Iguatama</w:t>
            </w:r>
            <w:proofErr w:type="spellEnd"/>
            <w:r w:rsidRPr="0087435D">
              <w:rPr>
                <w:rFonts w:ascii="Calibri" w:hAnsi="Calibri"/>
                <w:sz w:val="20"/>
                <w:lang w:val="pt-BR"/>
              </w:rPr>
              <w:t xml:space="preserve"> em aderir ao Programa. </w:t>
            </w:r>
          </w:p>
          <w:p w:rsidR="00692152" w:rsidRDefault="00692152">
            <w:pPr>
              <w:spacing w:after="0"/>
              <w:jc w:val="both"/>
              <w:rPr>
                <w:rFonts w:ascii="Calibri" w:hAnsi="Calibri"/>
                <w:sz w:val="20"/>
                <w:lang w:val="pt-BR"/>
              </w:rPr>
            </w:pPr>
          </w:p>
          <w:p w:rsidR="00760DE1" w:rsidRPr="0087435D" w:rsidRDefault="0087435D">
            <w:pPr>
              <w:spacing w:after="0"/>
              <w:jc w:val="both"/>
              <w:rPr>
                <w:lang w:val="pt-BR"/>
              </w:rPr>
            </w:pPr>
            <w:r w:rsidRPr="0087435D">
              <w:rPr>
                <w:rFonts w:ascii="Calibri" w:hAnsi="Calibri"/>
                <w:sz w:val="20"/>
                <w:lang w:val="pt-BR"/>
              </w:rPr>
              <w:t xml:space="preserve">Lista completa de municípios já participantes do Programa Descubra ( total de 23 municípios):  Araxá, Belo Horizonte, Betim, Pirapora (Buritizeiro, </w:t>
            </w:r>
            <w:proofErr w:type="spellStart"/>
            <w:r w:rsidRPr="0087435D">
              <w:rPr>
                <w:rFonts w:ascii="Calibri" w:hAnsi="Calibri"/>
                <w:sz w:val="20"/>
                <w:lang w:val="pt-BR"/>
              </w:rPr>
              <w:t>Jequitaí</w:t>
            </w:r>
            <w:proofErr w:type="spellEnd"/>
            <w:r w:rsidRPr="0087435D">
              <w:rPr>
                <w:rFonts w:ascii="Calibri" w:hAnsi="Calibri"/>
                <w:sz w:val="20"/>
                <w:lang w:val="pt-BR"/>
              </w:rPr>
              <w:t>), Contagem, Coronel Fabriciano, Divinópolis, Governador Valadares, Ipatinga (Santana do Paraíso), Juiz de Fora, Montes Claros, Muriaé, Ouro Preto, Passos, Patos de Minas, Pouso Alegre, Ribeirão das Neves, Sete Lagoas, Uberlândia, Uberaba (Campo Florido, Delta, Água Comprida, Veríssimo) , Timóteo e Varginha.</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1"/>
        <w:gridCol w:w="4636"/>
        <w:gridCol w:w="1411"/>
        <w:gridCol w:w="1301"/>
        <w:gridCol w:w="1078"/>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1 - GARANTIA DOS DIREITOS FUNDAMENTAIS E DO ESTADO DEMOCRÁTICO DE DIREITO</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1.18</w:t>
            </w:r>
            <w:r w:rsidRPr="0087435D">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5" w:name="meta_PRESIDÊNCIA_4"/>
            <w:bookmarkEnd w:id="25"/>
            <w:r w:rsidRPr="0087435D">
              <w:rPr>
                <w:rFonts w:ascii="Calibri" w:hAnsi="Calibri"/>
                <w:b/>
                <w:sz w:val="18"/>
                <w:lang w:val="pt-BR"/>
              </w:rPr>
              <w:t>TJMG 144</w:t>
            </w:r>
            <w:r w:rsidRPr="0087435D">
              <w:rPr>
                <w:rFonts w:ascii="Calibri" w:hAnsi="Calibri"/>
                <w:sz w:val="18"/>
                <w:lang w:val="pt-BR"/>
              </w:rPr>
              <w:t xml:space="preserve"> - Obter, até 18/12/2025, pelo menos 10 (dez) parceiros cadastrados no Programa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90</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Meta TJMG 144, que buscou obter, até 18/12/2025, pelo menos 10 (dez) parceiros cadastrados no Programa Descubra. No âmbito da meta TJMG 144, o resultado apurado até agosto de 2025 foi de 3 (três) parceiros formalmente cadastrados, sendo eles a empresa Barra Sete Engenharia (empresa empregadora), o Tribunal de Contas do Estado de Minas Gerais (TCE-MG) como Instituição Partícipe e a Associação Junior </w:t>
            </w:r>
            <w:proofErr w:type="spellStart"/>
            <w:r w:rsidRPr="0087435D">
              <w:rPr>
                <w:rFonts w:ascii="Calibri" w:hAnsi="Calibri"/>
                <w:sz w:val="20"/>
                <w:lang w:val="pt-BR"/>
              </w:rPr>
              <w:t>Achievement</w:t>
            </w:r>
            <w:proofErr w:type="spellEnd"/>
            <w:r w:rsidRPr="0087435D">
              <w:rPr>
                <w:rFonts w:ascii="Calibri" w:hAnsi="Calibri"/>
                <w:sz w:val="20"/>
                <w:lang w:val="pt-BR"/>
              </w:rPr>
              <w:t xml:space="preserve"> de Minas Gerais (empresa formadora).  Em um total de 10 (dez) anteriormente previstos, observa-se que a meta não foi alcançada em 2025, porém, destaca-se que a equipe técnica responsável envida esforços continuamente para cadastrar novos parceiros em 2026.</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1.19</w:t>
            </w:r>
            <w:r w:rsidRPr="0087435D">
              <w:rPr>
                <w:rFonts w:ascii="Calibri" w:hAnsi="Calibri"/>
                <w:sz w:val="18"/>
                <w:lang w:val="pt-BR"/>
              </w:rPr>
              <w:t xml:space="preserve"> - Número de pessoas beneficiadas com as ações de impacto </w:t>
            </w:r>
            <w:proofErr w:type="spellStart"/>
            <w:r w:rsidRPr="0087435D">
              <w:rPr>
                <w:rFonts w:ascii="Calibri" w:hAnsi="Calibri"/>
                <w:sz w:val="18"/>
                <w:lang w:val="pt-BR"/>
              </w:rPr>
              <w:t>sociail</w:t>
            </w:r>
            <w:proofErr w:type="spellEnd"/>
            <w:r w:rsidRPr="0087435D">
              <w:rPr>
                <w:rFonts w:ascii="Calibri" w:hAnsi="Calibri"/>
                <w:sz w:val="18"/>
                <w:lang w:val="pt-BR"/>
              </w:rPr>
              <w:t xml:space="preserve">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6" w:name="meta_PRESIDÊNCIA_5"/>
            <w:bookmarkEnd w:id="26"/>
            <w:r w:rsidRPr="0087435D">
              <w:rPr>
                <w:rFonts w:ascii="Calibri" w:hAnsi="Calibri"/>
                <w:b/>
                <w:sz w:val="18"/>
                <w:lang w:val="pt-BR"/>
              </w:rPr>
              <w:t>TJMG 145</w:t>
            </w:r>
            <w:r w:rsidRPr="0087435D">
              <w:rPr>
                <w:rFonts w:ascii="Calibri" w:hAnsi="Calibri"/>
                <w:sz w:val="18"/>
                <w:lang w:val="pt-BR"/>
              </w:rPr>
              <w:t xml:space="preserve"> - Beneficiar,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135.419</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sidRPr="00F12BD4">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90</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F12BD4" w:rsidRDefault="00F12BD4" w:rsidP="00F12BD4">
            <w:pPr>
              <w:spacing w:after="0"/>
              <w:jc w:val="both"/>
              <w:rPr>
                <w:lang w:val="pt-BR"/>
              </w:rPr>
            </w:pPr>
            <w:r>
              <w:rPr>
                <w:rFonts w:ascii="Calibri" w:hAnsi="Calibri"/>
                <w:b/>
                <w:sz w:val="20"/>
                <w:lang w:val="pt-BR"/>
              </w:rPr>
              <w:t xml:space="preserve">Situação: </w:t>
            </w:r>
            <w:r>
              <w:rPr>
                <w:rFonts w:ascii="Calibri" w:hAnsi="Calibri"/>
                <w:sz w:val="20"/>
                <w:lang w:val="pt-BR"/>
              </w:rPr>
              <w:t xml:space="preserve">Até dezembro de 2025, 135.419 pessoas foram beneficiadas com ações de impacto social promovidas pela COINJ, sendo: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198 pessoas alcançadas pelo Programa Entrega Legal (99 mães e 99 recém-nascidos);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176 pessoas sensibilizadas pelo programa Família Acolhedora, resultando no cadastro e habilitação de 89 famílias e outras 87 famílias em processo de habilitação;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24.400 visualizações e visitas à página do Programa Família Acolhedora em parceria com a PBH;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1.982 crianças e adolescentes em situação de acolhimento institucional participantes de atividades diversas, como cineclube promovido pelo TJMG, visitas a museus, teatro, zoológicos, entre outras atividades culturais;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500 magistrados participantes de Fóruns da Infância e Juventude;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469 adolescentes com contrato de aprendizagem formalizados no âmbito do Programa Descubra;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3 adolescentes admitidos por empresas parceiras do Programa Jovens Parceiros, 80 adolescentes iniciaram contrato de aprendizagem em 2025;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1522 apadrinhamentos sendo 553 afetivos e 533 na modalidade prestador de serviços e 436 na modalidade provedor.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314 pessoas certificadas pelo </w:t>
            </w:r>
            <w:proofErr w:type="spellStart"/>
            <w:r>
              <w:rPr>
                <w:rFonts w:ascii="Calibri" w:hAnsi="Calibri"/>
                <w:sz w:val="20"/>
                <w:lang w:val="pt-BR"/>
              </w:rPr>
              <w:t>webinário</w:t>
            </w:r>
            <w:proofErr w:type="spellEnd"/>
            <w:r>
              <w:rPr>
                <w:rFonts w:ascii="Calibri" w:hAnsi="Calibri"/>
                <w:sz w:val="20"/>
                <w:lang w:val="pt-BR"/>
              </w:rPr>
              <w:t xml:space="preserve"> Entrega Legal, cerca de 1,9 mil acessos no </w:t>
            </w:r>
            <w:proofErr w:type="spellStart"/>
            <w:r>
              <w:rPr>
                <w:rFonts w:ascii="Calibri" w:hAnsi="Calibri"/>
                <w:sz w:val="20"/>
                <w:lang w:val="pt-BR"/>
              </w:rPr>
              <w:t>Youtube</w:t>
            </w:r>
            <w:proofErr w:type="spellEnd"/>
            <w:r>
              <w:rPr>
                <w:rFonts w:ascii="Calibri" w:hAnsi="Calibri"/>
                <w:sz w:val="20"/>
                <w:lang w:val="pt-BR"/>
              </w:rPr>
              <w:t xml:space="preserve">;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503 certificados emitidos no </w:t>
            </w:r>
            <w:proofErr w:type="spellStart"/>
            <w:r>
              <w:rPr>
                <w:rFonts w:ascii="Calibri" w:hAnsi="Calibri"/>
                <w:sz w:val="20"/>
                <w:lang w:val="pt-BR"/>
              </w:rPr>
              <w:t>webinário</w:t>
            </w:r>
            <w:proofErr w:type="spellEnd"/>
            <w:r>
              <w:rPr>
                <w:rFonts w:ascii="Calibri" w:hAnsi="Calibri"/>
                <w:sz w:val="20"/>
                <w:lang w:val="pt-BR"/>
              </w:rPr>
              <w:t xml:space="preserve"> Família Acolhedora – Fluxos e Impasses Jurídicos;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200 crianças em situação de acolhimento institucional atendidas na Rua de Lazer, evento dia das crianças;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325 pessoas participantes de evento de apresentação do programa Descubra, resultando na formalização da </w:t>
            </w:r>
            <w:proofErr w:type="spellStart"/>
            <w:r>
              <w:rPr>
                <w:rFonts w:ascii="Calibri" w:hAnsi="Calibri"/>
                <w:sz w:val="20"/>
                <w:lang w:val="pt-BR"/>
              </w:rPr>
              <w:t>Assprom</w:t>
            </w:r>
            <w:proofErr w:type="spellEnd"/>
            <w:r>
              <w:rPr>
                <w:rFonts w:ascii="Calibri" w:hAnsi="Calibri"/>
                <w:sz w:val="20"/>
                <w:lang w:val="pt-BR"/>
              </w:rPr>
              <w:t xml:space="preserve"> e da Junior </w:t>
            </w:r>
            <w:proofErr w:type="spellStart"/>
            <w:r>
              <w:rPr>
                <w:rFonts w:ascii="Calibri" w:hAnsi="Calibri"/>
                <w:sz w:val="20"/>
                <w:lang w:val="pt-BR"/>
              </w:rPr>
              <w:t>Achievement</w:t>
            </w:r>
            <w:proofErr w:type="spellEnd"/>
            <w:r>
              <w:rPr>
                <w:rFonts w:ascii="Calibri" w:hAnsi="Calibri"/>
                <w:sz w:val="20"/>
                <w:lang w:val="pt-BR"/>
              </w:rPr>
              <w:t xml:space="preserve"> como parceiros do Programa e do TJMG como instituição concedente de práticas;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rsidR="00F12BD4" w:rsidRDefault="00F12BD4" w:rsidP="00F12BD4">
            <w:pPr>
              <w:spacing w:after="0"/>
              <w:jc w:val="both"/>
              <w:rPr>
                <w:lang w:val="pt-BR"/>
              </w:rPr>
            </w:pPr>
            <w:r>
              <w:rPr>
                <w:rFonts w:ascii="Calibri" w:hAnsi="Calibri"/>
                <w:sz w:val="20"/>
                <w:lang w:val="pt-BR"/>
              </w:rPr>
              <w:lastRenderedPageBreak/>
              <w:t>•</w:t>
            </w:r>
            <w:r>
              <w:rPr>
                <w:rFonts w:ascii="Calibri" w:hAnsi="Calibri"/>
                <w:sz w:val="20"/>
                <w:lang w:val="pt-BR"/>
              </w:rPr>
              <w:tab/>
              <w:t xml:space="preserve">600 pessoas alcançadas com a publicação do livro “Travessias da Infância e Juventude”;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99.260 pessoas alcançadas pela realização de campanhas de adoção em estádios de futebol (Cruzeiro x Atlético (18/05) e Atlético x Corinthians (24/05). </w:t>
            </w:r>
          </w:p>
          <w:p w:rsidR="00F12BD4" w:rsidRDefault="00F12BD4" w:rsidP="00F12BD4">
            <w:pPr>
              <w:spacing w:after="0"/>
              <w:jc w:val="both"/>
              <w:rPr>
                <w:lang w:val="pt-BR"/>
              </w:rPr>
            </w:pPr>
            <w:r>
              <w:rPr>
                <w:rFonts w:ascii="Calibri" w:hAnsi="Calibri"/>
                <w:sz w:val="20"/>
                <w:lang w:val="pt-BR"/>
              </w:rPr>
              <w:t>•</w:t>
            </w:r>
            <w:r>
              <w:rPr>
                <w:rFonts w:ascii="Calibri" w:hAnsi="Calibri"/>
                <w:sz w:val="20"/>
                <w:lang w:val="pt-BR"/>
              </w:rPr>
              <w:tab/>
              <w:t xml:space="preserve">125 certificados do Seminário COINJ/PUC realizado nos dias 20 e 27 de outubro, nas unidades Coração Eucarístico e Barreiro da PUC Minas com os temas “REDE DE PROTEÇÃO DA INFÂNCIA E DA JUVENTUDE” e “SISTEMA SOCIOEDUCATIVO E MEDIDAS DE PROTEÇÃO”; </w:t>
            </w:r>
          </w:p>
          <w:p w:rsidR="00760DE1" w:rsidRPr="0087435D" w:rsidRDefault="00F12BD4" w:rsidP="00F12BD4">
            <w:pPr>
              <w:spacing w:after="0"/>
              <w:jc w:val="both"/>
              <w:rPr>
                <w:lang w:val="pt-BR"/>
              </w:rPr>
            </w:pPr>
            <w:r>
              <w:rPr>
                <w:rFonts w:ascii="Calibri" w:hAnsi="Calibri"/>
                <w:sz w:val="20"/>
                <w:lang w:val="pt-BR"/>
              </w:rPr>
              <w:t>•</w:t>
            </w:r>
            <w:r>
              <w:rPr>
                <w:rFonts w:ascii="Calibri" w:hAnsi="Calibri"/>
                <w:sz w:val="20"/>
                <w:lang w:val="pt-BR"/>
              </w:rPr>
              <w:tab/>
              <w:t>278 participantes on-line e 93 participantes ao vivo no Seminário Travessias em Rede: Seminários Regionais da Infância e Juventude.</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1 - GARANTIA DOS DIREITOS FUNDAMENTAIS E DO ESTADO DEMOCRÁTICO DE DIREITO</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1.21</w:t>
            </w:r>
            <w:r w:rsidRPr="0087435D">
              <w:rPr>
                <w:rFonts w:ascii="Calibri" w:hAnsi="Calibri"/>
                <w:sz w:val="18"/>
                <w:lang w:val="pt-BR"/>
              </w:rPr>
              <w:t xml:space="preserve"> - Número de contratos com reserva de vagas para pessoas em condição de vulnerabilidade.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7" w:name="meta_PRESIDÊNCIA_6"/>
            <w:bookmarkEnd w:id="27"/>
            <w:r w:rsidRPr="0087435D">
              <w:rPr>
                <w:rFonts w:ascii="Calibri" w:hAnsi="Calibri"/>
                <w:b/>
                <w:sz w:val="18"/>
                <w:lang w:val="pt-BR"/>
              </w:rPr>
              <w:t>TJMG 150</w:t>
            </w:r>
            <w:r w:rsidRPr="0087435D">
              <w:rPr>
                <w:rFonts w:ascii="Calibri" w:hAnsi="Calibri"/>
                <w:sz w:val="18"/>
                <w:lang w:val="pt-BR"/>
              </w:rPr>
              <w:t xml:space="preserve"> - Garantir, no ano de 2025, a reserva de vagas para pessoas em condição de vulnerabilidade em pelo menos 01 (um) contrato de prestação de serviços continuados e terceirizados.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DIRSEP</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A meta foi alcançada mediante a seleção do Contrato nº 336/2024, relativo aos serviços gerais. A operacionalização dessa reserva foi viabilizada pelo Acordo de Cooperação Técnica (ACT) nº 234/2024 (Projeto Filhas de Sara), que definiu os fluxos de recrutamento pertinentes.</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6"/>
        <w:gridCol w:w="4631"/>
        <w:gridCol w:w="1411"/>
        <w:gridCol w:w="1301"/>
        <w:gridCol w:w="1078"/>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2 - AMPLIAÇÃO DA RELAÇÃO INSTITUCIONAL DO JUDICIÁRIO COM A SOCIEDADE</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2.6</w:t>
            </w:r>
            <w:r w:rsidRPr="0087435D">
              <w:rPr>
                <w:rFonts w:ascii="Calibri" w:hAnsi="Calibri"/>
                <w:sz w:val="18"/>
                <w:lang w:val="pt-BR"/>
              </w:rPr>
              <w:t xml:space="preserve"> - Número de boletins publicados no portal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8" w:name="meta_PRESIDÊNCIA_7"/>
            <w:bookmarkEnd w:id="28"/>
            <w:r w:rsidRPr="0087435D">
              <w:rPr>
                <w:rFonts w:ascii="Calibri" w:hAnsi="Calibri"/>
                <w:b/>
                <w:sz w:val="18"/>
                <w:lang w:val="pt-BR"/>
              </w:rPr>
              <w:t>TJMG 151</w:t>
            </w:r>
            <w:r w:rsidRPr="0087435D">
              <w:rPr>
                <w:rFonts w:ascii="Calibri" w:hAnsi="Calibri"/>
                <w:sz w:val="18"/>
                <w:lang w:val="pt-BR"/>
              </w:rPr>
              <w:t xml:space="preserve"> - Publicar, no Portal TJMG, 2 (dois) boletins de informação à sociedade,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DIRGED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foi cumprida com a publicação de dois boletins de informação à sociedade no Portal TJMG, os quais podem ser acessados pelo link: </w:t>
            </w:r>
            <w:proofErr w:type="gramStart"/>
            <w:r w:rsidRPr="0087435D">
              <w:rPr>
                <w:rFonts w:ascii="Calibri" w:hAnsi="Calibri"/>
                <w:sz w:val="20"/>
                <w:lang w:val="pt-BR"/>
              </w:rPr>
              <w:t>https://www.tjmg.jus.br/portal-tjmg/biblioteca/painel-boletim-informacao-a-sociedade.htm .</w:t>
            </w:r>
            <w:proofErr w:type="gramEnd"/>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3.19</w:t>
            </w:r>
            <w:r w:rsidRPr="0087435D">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29" w:name="meta_PRESIDÊNCIA_8"/>
            <w:bookmarkEnd w:id="29"/>
            <w:r w:rsidRPr="0087435D">
              <w:rPr>
                <w:rFonts w:ascii="Calibri" w:hAnsi="Calibri"/>
                <w:b/>
                <w:sz w:val="18"/>
                <w:lang w:val="pt-BR"/>
              </w:rPr>
              <w:t>TJMG 17</w:t>
            </w:r>
            <w:r w:rsidRPr="0087435D">
              <w:rPr>
                <w:rFonts w:ascii="Calibri" w:hAnsi="Calibri"/>
                <w:sz w:val="18"/>
                <w:lang w:val="pt-BR"/>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96%</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21</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17” previu a execução, até dezembro de 2025, de 70% (setenta por cento) dos marcos previstos para o ano na iniciativa "Plano de estruturação organizacional para a produtividade na prestação jurisdicional". O escopo inicialmente aprovado previu a conclusão de 6 entregas. Entretanto, ao longo do ano, outras 19 entregas foram alinhadas com a Presidência para serem concluídas ainda em 2025, ampliando o universo de análise para um total de 25 entregas previstas para o ano. Até o mês de novembro, 24 delas já haviam sido concluídas, valor que representa um resultado de 96% na meta estabelecida. As entregas concluídas ao longo do ano foram: </w:t>
            </w:r>
          </w:p>
          <w:p w:rsidR="00760DE1" w:rsidRPr="0087435D" w:rsidRDefault="0087435D">
            <w:pPr>
              <w:spacing w:after="0"/>
              <w:jc w:val="both"/>
              <w:rPr>
                <w:lang w:val="pt-BR"/>
              </w:rPr>
            </w:pPr>
            <w:r w:rsidRPr="0087435D">
              <w:rPr>
                <w:rFonts w:ascii="Calibri" w:hAnsi="Calibri"/>
                <w:sz w:val="20"/>
                <w:lang w:val="pt-BR"/>
              </w:rPr>
              <w:t xml:space="preserve">•Resolução 1088/PR/2025 - “Altera composição das Unidades Jurisdicionais do Sistema dos Juizados Especiais da Comarca de Belo Horizonte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1089/PR/2025 - “Altera a denominação e a competência de vara da Comarca de Ribeirão das Neves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1090/PR/2025 - “Altera a competência de varas da Comarca de Ipatinga”; </w:t>
            </w:r>
          </w:p>
          <w:p w:rsidR="00760DE1" w:rsidRPr="0087435D" w:rsidRDefault="0087435D">
            <w:pPr>
              <w:spacing w:after="0"/>
              <w:jc w:val="both"/>
              <w:rPr>
                <w:lang w:val="pt-BR"/>
              </w:rPr>
            </w:pPr>
            <w:r w:rsidRPr="0087435D">
              <w:rPr>
                <w:rFonts w:ascii="Calibri" w:hAnsi="Calibri"/>
                <w:sz w:val="20"/>
                <w:lang w:val="pt-BR"/>
              </w:rPr>
              <w:t xml:space="preserve">•Resolução 1098/PR/2025 - “Altera a Resolução do Órgão Especial nº 819, de 15 de junho de 2016, que ‘Institui o Sistema de Gerenciamento Matricial de Unidades Judiciárias, no âmbito da Justiça Comum de Primeiro Grau do Estado de Minas Gerais’”; </w:t>
            </w:r>
          </w:p>
          <w:p w:rsidR="00760DE1" w:rsidRPr="0087435D" w:rsidRDefault="0087435D">
            <w:pPr>
              <w:spacing w:after="0"/>
              <w:jc w:val="both"/>
              <w:rPr>
                <w:lang w:val="pt-BR"/>
              </w:rPr>
            </w:pPr>
            <w:r w:rsidRPr="0087435D">
              <w:rPr>
                <w:rFonts w:ascii="Calibri" w:hAnsi="Calibri"/>
                <w:sz w:val="20"/>
                <w:lang w:val="pt-BR"/>
              </w:rPr>
              <w:t xml:space="preserve">•Resolução 1099/PR/2025 - “Dispõe sobre a desinstalação do Ofício do 3º Tabelionato de Notas da Comarca de Ituiutaba e dá outras providências”; </w:t>
            </w:r>
          </w:p>
          <w:p w:rsidR="00760DE1" w:rsidRPr="0087435D" w:rsidRDefault="0087435D">
            <w:pPr>
              <w:spacing w:after="0"/>
              <w:jc w:val="both"/>
              <w:rPr>
                <w:lang w:val="pt-BR"/>
              </w:rPr>
            </w:pPr>
            <w:r w:rsidRPr="0087435D">
              <w:rPr>
                <w:rFonts w:ascii="Calibri" w:hAnsi="Calibri"/>
                <w:sz w:val="20"/>
                <w:lang w:val="pt-BR"/>
              </w:rPr>
              <w:t>•Resolução 1101/PR/</w:t>
            </w:r>
            <w:proofErr w:type="gramStart"/>
            <w:r w:rsidRPr="0087435D">
              <w:rPr>
                <w:rFonts w:ascii="Calibri" w:hAnsi="Calibri"/>
                <w:sz w:val="20"/>
                <w:lang w:val="pt-BR"/>
              </w:rPr>
              <w:t>2025  -</w:t>
            </w:r>
            <w:proofErr w:type="gramEnd"/>
            <w:r w:rsidRPr="0087435D">
              <w:rPr>
                <w:rFonts w:ascii="Calibri" w:hAnsi="Calibri"/>
                <w:sz w:val="20"/>
                <w:lang w:val="pt-BR"/>
              </w:rPr>
              <w:t xml:space="preserve"> “Altera a competência de varas da Comarca de São Gotardo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1102/PR/2025 - “Altera a denominação e a competência de varas da Comarca de Lavras e dá outras providências”; </w:t>
            </w:r>
          </w:p>
          <w:p w:rsidR="00760DE1" w:rsidRPr="0087435D" w:rsidRDefault="0087435D">
            <w:pPr>
              <w:spacing w:after="0"/>
              <w:jc w:val="both"/>
              <w:rPr>
                <w:lang w:val="pt-BR"/>
              </w:rPr>
            </w:pPr>
            <w:r w:rsidRPr="0087435D">
              <w:rPr>
                <w:rFonts w:ascii="Calibri" w:hAnsi="Calibri"/>
                <w:sz w:val="20"/>
                <w:lang w:val="pt-BR"/>
              </w:rPr>
              <w:t>•Resolução 1104/PR/</w:t>
            </w:r>
            <w:proofErr w:type="gramStart"/>
            <w:r w:rsidRPr="0087435D">
              <w:rPr>
                <w:rFonts w:ascii="Calibri" w:hAnsi="Calibri"/>
                <w:sz w:val="20"/>
                <w:lang w:val="pt-BR"/>
              </w:rPr>
              <w:t>2025  -</w:t>
            </w:r>
            <w:proofErr w:type="gramEnd"/>
            <w:r w:rsidRPr="0087435D">
              <w:rPr>
                <w:rFonts w:ascii="Calibri" w:hAnsi="Calibri"/>
                <w:sz w:val="20"/>
                <w:lang w:val="pt-BR"/>
              </w:rPr>
              <w:t xml:space="preserve"> “Altera a competência de varas da Comarca de Contagem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1105/PR/2025 </w:t>
            </w:r>
            <w:proofErr w:type="gramStart"/>
            <w:r w:rsidRPr="0087435D">
              <w:rPr>
                <w:rFonts w:ascii="Calibri" w:hAnsi="Calibri"/>
                <w:sz w:val="20"/>
                <w:lang w:val="pt-BR"/>
              </w:rPr>
              <w:t>-  “</w:t>
            </w:r>
            <w:proofErr w:type="gramEnd"/>
            <w:r w:rsidRPr="0087435D">
              <w:rPr>
                <w:rFonts w:ascii="Calibri" w:hAnsi="Calibri"/>
                <w:sz w:val="20"/>
                <w:lang w:val="pt-BR"/>
              </w:rPr>
              <w:t xml:space="preserve">Altera a denominação e a competência de varas e determina a instalação de vara na Comarca de Uberaba, dispõe sobre a unificação das Secretarias de Juízo das Varas Criminais da referida comarca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1107/PR/2025 - “Altera a competência da 1ª, 2ª, 3ª, 4ª e 5ª Varas de Tóxicos, Organização Criminosa e Lavagem de Dinheiro da Comarca de Belo Horizonte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1108/2025 - “Dispõe sobre a implantação do Juiz das Garantias, a instalação da 1ª e 2ª Varas das Garantias e a criação e a regulamentação da Central das Garantias da Comarca de Belo Horizonte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1112/PR/2025 - “Dispõe sobre a desinstalação do Ofício do 2º Tabelionato de Notas da Comarca de São João </w:t>
            </w:r>
            <w:proofErr w:type="spellStart"/>
            <w:r w:rsidRPr="0087435D">
              <w:rPr>
                <w:rFonts w:ascii="Calibri" w:hAnsi="Calibri"/>
                <w:sz w:val="20"/>
                <w:lang w:val="pt-BR"/>
              </w:rPr>
              <w:t>delRei</w:t>
            </w:r>
            <w:proofErr w:type="spellEnd"/>
            <w:r w:rsidRPr="0087435D">
              <w:rPr>
                <w:rFonts w:ascii="Calibri" w:hAnsi="Calibri"/>
                <w:sz w:val="20"/>
                <w:lang w:val="pt-BR"/>
              </w:rPr>
              <w:t xml:space="preserve">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1113/PR/2025 - “Altera a competência da 2ª Vara Cível da Comarca de Belo Horizonte para especializá-la no processo e julgamento das ações afetas ao direito à saúde suplementar”; </w:t>
            </w:r>
          </w:p>
          <w:p w:rsidR="00760DE1" w:rsidRPr="0087435D" w:rsidRDefault="0087435D">
            <w:pPr>
              <w:spacing w:after="0"/>
              <w:jc w:val="both"/>
              <w:rPr>
                <w:lang w:val="pt-BR"/>
              </w:rPr>
            </w:pPr>
            <w:r w:rsidRPr="0087435D">
              <w:rPr>
                <w:rFonts w:ascii="Calibri" w:hAnsi="Calibri"/>
                <w:sz w:val="20"/>
                <w:lang w:val="pt-BR"/>
              </w:rPr>
              <w:t xml:space="preserve">•Resolução 1114/PR/2025 - “Dispõe sobre a desinstalação do Ofício do 3º Tabelionato de Notas da Comarca de Sabará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1115/PR/2025 - “Dispõe sobre a organização e o funcionamento da Turma de Uniformização de Jurisprudência, no âmbito dos Juizados Especiais do Estado de Minas Gerais”; </w:t>
            </w:r>
          </w:p>
          <w:p w:rsidR="00760DE1" w:rsidRPr="0087435D" w:rsidRDefault="0087435D">
            <w:pPr>
              <w:spacing w:after="0"/>
              <w:jc w:val="both"/>
              <w:rPr>
                <w:lang w:val="pt-BR"/>
              </w:rPr>
            </w:pPr>
            <w:r w:rsidRPr="0087435D">
              <w:rPr>
                <w:rFonts w:ascii="Calibri" w:hAnsi="Calibri"/>
                <w:sz w:val="20"/>
                <w:lang w:val="pt-BR"/>
              </w:rPr>
              <w:lastRenderedPageBreak/>
              <w:t xml:space="preserve">•Resolução 1116/PR/2025 - “Altera a Resolução do Órgão Especial nº 792, de 23 de abril de 2015, que ‘Dispõe sobre a função de juiz leigo, de que trata a Lei federal nº 9.099, de 26 de setembro de 1995, no âmbito dos Juizados Especiais do Estado de Minas Gerais’”; </w:t>
            </w:r>
          </w:p>
          <w:p w:rsidR="00760DE1" w:rsidRPr="0087435D" w:rsidRDefault="0087435D">
            <w:pPr>
              <w:spacing w:after="0"/>
              <w:jc w:val="both"/>
              <w:rPr>
                <w:lang w:val="pt-BR"/>
              </w:rPr>
            </w:pPr>
            <w:r w:rsidRPr="0087435D">
              <w:rPr>
                <w:rFonts w:ascii="Calibri" w:hAnsi="Calibri"/>
                <w:sz w:val="20"/>
                <w:lang w:val="pt-BR"/>
              </w:rPr>
              <w:t xml:space="preserve">•Resolução 1117/PR/2025 - “Dispõe sobre a desinstalação do Ofício do 2º Tabelionato de Notas da Comarca de São João </w:t>
            </w:r>
            <w:proofErr w:type="spellStart"/>
            <w:r w:rsidRPr="0087435D">
              <w:rPr>
                <w:rFonts w:ascii="Calibri" w:hAnsi="Calibri"/>
                <w:sz w:val="20"/>
                <w:lang w:val="pt-BR"/>
              </w:rPr>
              <w:t>delRei</w:t>
            </w:r>
            <w:proofErr w:type="spellEnd"/>
            <w:r w:rsidRPr="0087435D">
              <w:rPr>
                <w:rFonts w:ascii="Calibri" w:hAnsi="Calibri"/>
                <w:sz w:val="20"/>
                <w:lang w:val="pt-BR"/>
              </w:rPr>
              <w:t xml:space="preserve">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1118/PR/2025 - “Altera a Resolução do Órgão Especial nº 781, de 4 de dezembro de 2014, que ‘Dispõe sobre a implantação da Turma Recursal, de jurisdição exclusiva, de Belo Horizonte, Betim e Contagem’”; </w:t>
            </w:r>
          </w:p>
          <w:p w:rsidR="00760DE1" w:rsidRPr="0087435D" w:rsidRDefault="0087435D">
            <w:pPr>
              <w:spacing w:after="0"/>
              <w:jc w:val="both"/>
              <w:rPr>
                <w:lang w:val="pt-BR"/>
              </w:rPr>
            </w:pPr>
            <w:r w:rsidRPr="0087435D">
              <w:rPr>
                <w:rFonts w:ascii="Calibri" w:hAnsi="Calibri"/>
                <w:sz w:val="20"/>
                <w:lang w:val="pt-BR"/>
              </w:rPr>
              <w:t xml:space="preserve">•Resolução 1119/PR/2025 - “Regulamenta a permuta entre magistrados vinculados ao Tribunal de Justiça do Estado de Minas Gerais e magistrados vinculados a tribunais de justiça de outro Estado Federado ou do Distrito Federal e dos </w:t>
            </w:r>
            <w:proofErr w:type="gramStart"/>
            <w:r w:rsidRPr="0087435D">
              <w:rPr>
                <w:rFonts w:ascii="Calibri" w:hAnsi="Calibri"/>
                <w:sz w:val="20"/>
                <w:lang w:val="pt-BR"/>
              </w:rPr>
              <w:t>Territórios“</w:t>
            </w:r>
            <w:proofErr w:type="gramEnd"/>
            <w:r w:rsidRPr="0087435D">
              <w:rPr>
                <w:rFonts w:ascii="Calibri" w:hAnsi="Calibri"/>
                <w:sz w:val="20"/>
                <w:lang w:val="pt-BR"/>
              </w:rPr>
              <w:t xml:space="preserve">; </w:t>
            </w:r>
          </w:p>
          <w:p w:rsidR="00760DE1" w:rsidRPr="0087435D" w:rsidRDefault="0087435D">
            <w:pPr>
              <w:spacing w:after="0"/>
              <w:jc w:val="both"/>
              <w:rPr>
                <w:lang w:val="pt-BR"/>
              </w:rPr>
            </w:pPr>
            <w:r w:rsidRPr="0087435D">
              <w:rPr>
                <w:rFonts w:ascii="Calibri" w:hAnsi="Calibri"/>
                <w:sz w:val="20"/>
                <w:lang w:val="pt-BR"/>
              </w:rPr>
              <w:t>•Resolução 1121/PR/</w:t>
            </w:r>
            <w:proofErr w:type="gramStart"/>
            <w:r w:rsidRPr="0087435D">
              <w:rPr>
                <w:rFonts w:ascii="Calibri" w:hAnsi="Calibri"/>
                <w:sz w:val="20"/>
                <w:lang w:val="pt-BR"/>
              </w:rPr>
              <w:t>2025  -</w:t>
            </w:r>
            <w:proofErr w:type="gramEnd"/>
            <w:r w:rsidRPr="0087435D">
              <w:rPr>
                <w:rFonts w:ascii="Calibri" w:hAnsi="Calibri"/>
                <w:sz w:val="20"/>
                <w:lang w:val="pt-BR"/>
              </w:rPr>
              <w:t xml:space="preserve"> “Dispõe sobre a elevação da Comarca de Nova Lima para a entrância especial.”; </w:t>
            </w:r>
          </w:p>
          <w:p w:rsidR="00760DE1" w:rsidRPr="0087435D" w:rsidRDefault="0087435D">
            <w:pPr>
              <w:spacing w:after="0"/>
              <w:jc w:val="both"/>
              <w:rPr>
                <w:lang w:val="pt-BR"/>
              </w:rPr>
            </w:pPr>
            <w:r w:rsidRPr="0087435D">
              <w:rPr>
                <w:rFonts w:ascii="Calibri" w:hAnsi="Calibri"/>
                <w:sz w:val="20"/>
                <w:lang w:val="pt-BR"/>
              </w:rPr>
              <w:t xml:space="preserve">•Resolução 1122/PR/2025 - “Altera a competência de unidades judiciárias da Comarca de Governador Valadares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1123/PR/2025 - “Altera a competência de varas da Comarca de Uberlândia e dá outras providências”; </w:t>
            </w:r>
          </w:p>
          <w:p w:rsidR="00760DE1" w:rsidRPr="0087435D" w:rsidRDefault="0087435D">
            <w:pPr>
              <w:spacing w:after="0"/>
              <w:jc w:val="both"/>
              <w:rPr>
                <w:lang w:val="pt-BR"/>
              </w:rPr>
            </w:pPr>
            <w:r w:rsidRPr="0087435D">
              <w:rPr>
                <w:rFonts w:ascii="Calibri" w:hAnsi="Calibri"/>
                <w:sz w:val="20"/>
                <w:lang w:val="pt-BR"/>
              </w:rPr>
              <w:t xml:space="preserve">•Resolução 1126/PR/2025 - “Dispõe sobre a instalação de serventia extrajudicial no Município e Comarca de São João </w:t>
            </w:r>
            <w:proofErr w:type="spellStart"/>
            <w:r w:rsidRPr="0087435D">
              <w:rPr>
                <w:rFonts w:ascii="Calibri" w:hAnsi="Calibri"/>
                <w:sz w:val="20"/>
                <w:lang w:val="pt-BR"/>
              </w:rPr>
              <w:t>del</w:t>
            </w:r>
            <w:proofErr w:type="spellEnd"/>
            <w:r w:rsidRPr="0087435D">
              <w:rPr>
                <w:rFonts w:ascii="Calibri" w:hAnsi="Calibri"/>
                <w:sz w:val="20"/>
                <w:lang w:val="pt-BR"/>
              </w:rPr>
              <w:t xml:space="preserve">-Rei, especifica novas linhas divisórias correspondentes às circunscrições geográficas do 1º e 2º Ofícios de Registro de Imóveis da Comarca de São João </w:t>
            </w:r>
            <w:proofErr w:type="spellStart"/>
            <w:r w:rsidRPr="0087435D">
              <w:rPr>
                <w:rFonts w:ascii="Calibri" w:hAnsi="Calibri"/>
                <w:sz w:val="20"/>
                <w:lang w:val="pt-BR"/>
              </w:rPr>
              <w:t>del</w:t>
            </w:r>
            <w:proofErr w:type="spellEnd"/>
            <w:r w:rsidRPr="0087435D">
              <w:rPr>
                <w:rFonts w:ascii="Calibri" w:hAnsi="Calibri"/>
                <w:sz w:val="20"/>
                <w:lang w:val="pt-BR"/>
              </w:rPr>
              <w:t>-Rei e dá outras providências”. Vale ainda ressaltar a aprovação do “Projeto de Lei Complementar (Alteração de Lei Complementar nº 59/2001), visando a ‘Transferência do Município de Laranjal da Comarca de Muriaé para a de Palma’”. Após a aprovação do Órgão Especial do TJMG no dia 12/03, a minuta do normativo foi encaminhada para aprovação final da Assembleia Legislativa do Estado de Minas Gerais, não tendo sido, porém, votada até dezembro de 2025. Está pendente apenas a “Elaboração de minuta de Resolução que Dispõe sobre a lotação e o provimento dos cargos de Assessor de Juiz e das funções de confiança de assessoramento da Direção do Foro do Quadro de Cargos de Provimento em Comissão e de Funções de Confiança do Poder Judiciário”. Embora houvesse, inicialmente, a expectativa de que esta fosse publicada ainda em 2025, após a realização de um conjunto de alinhamentos ao longo do ano, verificou-se a necessidade de publicação de um normativo anterior, visando a definição de agrupamentos entre unidades que tem a mesma competência para subsidiar análises estatísticas que orientarão a distribuição dos cargos. As tratativas para a elaboração deste novo normativo estão em andamento, tendo sido iniciadas em novembro de 2025 e com previsão de conclusão em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3.32</w:t>
            </w:r>
            <w:r w:rsidRPr="0087435D">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0" w:name="meta_PRESIDÊNCIA_9"/>
            <w:bookmarkEnd w:id="30"/>
            <w:r w:rsidRPr="0087435D">
              <w:rPr>
                <w:rFonts w:ascii="Calibri" w:hAnsi="Calibri"/>
                <w:b/>
                <w:sz w:val="18"/>
                <w:lang w:val="pt-BR"/>
              </w:rPr>
              <w:t>TJMG 80</w:t>
            </w:r>
            <w:r w:rsidRPr="0087435D">
              <w:rPr>
                <w:rFonts w:ascii="Calibri" w:hAnsi="Calibri"/>
                <w:sz w:val="18"/>
                <w:lang w:val="pt-BR"/>
              </w:rPr>
              <w:t xml:space="preserve"> - Concluir, até dezembro de 2025, 100% (cem por cento) das atividades previstas 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68</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dezembro de 2025 a iniciativa concluiu 10 (dez) atividades que culminaram em seis grandes entregas. A primeira entrega foi a Elaboração de Plano de Comunicação do CIJMG, a Colaboração Projeto 1ª Vice SOMA, a Interlocução com o NUCOP, os Atos concertados CIJMG e NUCOP, a Automatização e otimização da triagem de execuções fiscais no Núcleo de Justiça 4.0 e o Acordo de Cooperação Técnica com a Procuradoria Geral do Município de Belo Horizonte – PGM. Tais ações demonstram o compromisso do Tribunal com uma justiça mais integrada, moderna e eficiente, capaz </w:t>
            </w:r>
            <w:proofErr w:type="gramStart"/>
            <w:r w:rsidRPr="0087435D">
              <w:rPr>
                <w:rFonts w:ascii="Calibri" w:hAnsi="Calibri"/>
                <w:sz w:val="20"/>
                <w:lang w:val="pt-BR"/>
              </w:rPr>
              <w:t>de  responder</w:t>
            </w:r>
            <w:proofErr w:type="gramEnd"/>
            <w:r w:rsidRPr="0087435D">
              <w:rPr>
                <w:rFonts w:ascii="Calibri" w:hAnsi="Calibri"/>
                <w:sz w:val="20"/>
                <w:lang w:val="pt-BR"/>
              </w:rPr>
              <w:t xml:space="preserve"> de forma mais rápida e coordenada aos desafios do Sistema Judicial e às expectativas da população mineira. Dessa forma, o cumprimento a meta alcançou o percentual de apuração de 83,33% até a data do último monitoramento.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1"/>
        <w:gridCol w:w="1411"/>
        <w:gridCol w:w="1301"/>
        <w:gridCol w:w="1077"/>
        <w:gridCol w:w="410"/>
        <w:gridCol w:w="1346"/>
      </w:tblGrid>
      <w:tr w:rsidR="00760DE1" w:rsidRPr="0087435D" w:rsidTr="0087435D">
        <w:trPr>
          <w:trHeight w:val="584"/>
        </w:trPr>
        <w:tc>
          <w:tcPr>
            <w:tcW w:w="15353"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rsidTr="0087435D">
        <w:trPr>
          <w:trHeight w:val="584"/>
        </w:trPr>
        <w:tc>
          <w:tcPr>
            <w:tcW w:w="5168"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464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1487"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rsidTr="0087435D">
        <w:tc>
          <w:tcPr>
            <w:tcW w:w="5168"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3.34</w:t>
            </w:r>
            <w:r w:rsidRPr="0087435D">
              <w:rPr>
                <w:rFonts w:ascii="Calibri" w:hAnsi="Calibri"/>
                <w:sz w:val="18"/>
                <w:lang w:val="pt-BR"/>
              </w:rPr>
              <w:t xml:space="preserve"> - Número de atos proferidos, em processos cíveis e criminais, em caráter de cooperação no Programa Pontualidade 5.0.</w:t>
            </w:r>
          </w:p>
        </w:tc>
        <w:tc>
          <w:tcPr>
            <w:tcW w:w="464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1" w:name="meta_PRESIDÊNCIA_10"/>
            <w:bookmarkEnd w:id="31"/>
            <w:r w:rsidRPr="0087435D">
              <w:rPr>
                <w:rFonts w:ascii="Calibri" w:hAnsi="Calibri"/>
                <w:b/>
                <w:sz w:val="18"/>
                <w:lang w:val="pt-BR"/>
              </w:rPr>
              <w:t>TJMG 85</w:t>
            </w:r>
            <w:r w:rsidRPr="0087435D">
              <w:rPr>
                <w:rFonts w:ascii="Calibri" w:hAnsi="Calibri"/>
                <w:sz w:val="18"/>
                <w:lang w:val="pt-BR"/>
              </w:rPr>
              <w:t xml:space="preserve"> - Proferir, em 2025, 60.000 (sessenta mil) atos de cooperação (audiências, júri, sentenças, decisões, despachos), em processos cíveis e criminais, em caráter de cooperação no Programa Pontualidade 5.0.</w:t>
            </w:r>
          </w:p>
        </w:tc>
        <w:tc>
          <w:tcPr>
            <w:tcW w:w="141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Presidência</w:t>
            </w:r>
            <w:proofErr w:type="spellEnd"/>
          </w:p>
        </w:tc>
        <w:tc>
          <w:tcPr>
            <w:tcW w:w="130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07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87.609</w:t>
            </w:r>
          </w:p>
        </w:tc>
        <w:tc>
          <w:tcPr>
            <w:tcW w:w="410"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06</w:t>
            </w:r>
          </w:p>
        </w:tc>
      </w:tr>
      <w:tr w:rsidR="00760DE1" w:rsidRPr="0087435D" w:rsidTr="0087435D">
        <w:tc>
          <w:tcPr>
            <w:tcW w:w="15353"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Entre janeiro e dezembro de 2025, foram proferidos 87.609 atos jurisdicionais em caráter de cooperação, sendo: 17.231 atos relacionados ao Programa Justiça Eficiente – PROJEF; 34.443 atos no Núcleo de Justiça 4.0 – Cível; 223 atos no Núcleo de Justiça 4.0 – Juizado Especial; 2.826 atos no Núcleo de Justiça 4.0 – Criminal; 20.839 atos Núcleo de Justiça 4.0 - Cooperação Judiciária; 7.243 atos na Central de Execução de Medida de Segurança 4.0 – </w:t>
            </w:r>
            <w:proofErr w:type="spellStart"/>
            <w:r w:rsidRPr="0087435D">
              <w:rPr>
                <w:rFonts w:ascii="Calibri" w:hAnsi="Calibri"/>
                <w:sz w:val="20"/>
                <w:lang w:val="pt-BR"/>
              </w:rPr>
              <w:t>Cemes</w:t>
            </w:r>
            <w:proofErr w:type="spellEnd"/>
            <w:r w:rsidRPr="0087435D">
              <w:rPr>
                <w:rFonts w:ascii="Calibri" w:hAnsi="Calibri"/>
                <w:sz w:val="20"/>
                <w:lang w:val="pt-BR"/>
              </w:rPr>
              <w:t xml:space="preserve">; 4.127 atos no Núcleo de Justiça 4.0 - Fazendário. Além disso, foram proferidos </w:t>
            </w:r>
            <w:proofErr w:type="gramStart"/>
            <w:r w:rsidRPr="0087435D">
              <w:rPr>
                <w:rFonts w:ascii="Calibri" w:hAnsi="Calibri"/>
                <w:sz w:val="20"/>
                <w:lang w:val="pt-BR"/>
              </w:rPr>
              <w:t>739.318  atos</w:t>
            </w:r>
            <w:proofErr w:type="gramEnd"/>
            <w:r w:rsidRPr="0087435D">
              <w:rPr>
                <w:rFonts w:ascii="Calibri" w:hAnsi="Calibri"/>
                <w:sz w:val="20"/>
                <w:lang w:val="pt-BR"/>
              </w:rPr>
              <w:t xml:space="preserve"> de secretaria, em caráter de cooperação. *Sabe-se da existência de inconsistência nas informações da Central de Execução de Medida de Segurança 4.0 – CEMES. Em 2025, houve a expansão da atuação do “Núcleo de Justiça 4.0 – Cível” (Portaria nº 7129/PR/2025), que passou a atuar em mais  unidades judiciárias e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De busca e apreensão em alienação fiduciária; e em produção antecipada de provas (classe), nas referidas matérias. Também executa a triagem das ações de execução fiscal de baixo valor e de competência delegada da União, identificando processos passíveis de extinção e promovendo a prolação de sentenças, em conformidade com o Tema 1.184 do STF, a Resolução CNJ nº 547/2024, a Nota Técnica nº 13/2024 do CIJ-MG e a Portaria Conjunta CNJ nº 5, que estabelece cooperação para a baixa definitiva de execuções fiscais em tramitação nas Justiças Estaduais cujas inscrições em dívida ativa estejam integralmente extintas — seja por pagamento, prescrição, decisão administrativa ou qualquer outra causa que impeça o prosseguimento da demanda.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esse Núcleo atuará em ações que tramitam pelo procedimento especial (Leis nº 9.099/1995, que dispõe sobre os Juizados Especiais Cíveis e Criminais, e Lei nº 12.153/2009, que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tenham sobrecarga de trabalho e, por isso, estejam descumprindo as metas do Conselho Nacional de Justiça – CNJ ou estejam com elevada taxa de congestionamento; sejam desprovidas de juízes titulares ou com designação exclusiva; ou onde não haja unidades jurisdicionais do sistema dos Juizados Especiais instaladas.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O “Núcleo de Justiça 4.0 – Fazenda Pública” (Portaria nº 1.406/PR/2022) atua nos processos do mutirão de pagamento dos honorários dativos, bem como nas causas que versam sobre o pagamento de férias prêmio e adicional noturno dos servidores públicos do Estado de Minas Gerais e férias prêmio dos servidores do TJMG. Os trabalhos contam com o uso de um robô que automatiza a triagem de processos.</w:t>
            </w:r>
          </w:p>
        </w:tc>
      </w:tr>
      <w:tr w:rsidR="00760DE1" w:rsidRPr="0087435D" w:rsidTr="0087435D">
        <w:trPr>
          <w:trHeight w:val="584"/>
        </w:trPr>
        <w:tc>
          <w:tcPr>
            <w:tcW w:w="15353"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lang w:val="pt-BR"/>
              </w:rPr>
              <w:lastRenderedPageBreak/>
              <w:br w:type="page"/>
            </w:r>
            <w:r w:rsidRPr="0087435D">
              <w:rPr>
                <w:rFonts w:ascii="Calibri" w:hAnsi="Calibri"/>
                <w:b/>
                <w:color w:val="FFFFFF"/>
                <w:lang w:val="pt-BR"/>
              </w:rPr>
              <w:t>3 - AGILIDADE E PRODUTIVIDADE NA PRESTAÇÃO JURISDICIONAL</w:t>
            </w:r>
          </w:p>
        </w:tc>
      </w:tr>
      <w:tr w:rsidR="00760DE1" w:rsidTr="0087435D">
        <w:trPr>
          <w:trHeight w:val="584"/>
        </w:trPr>
        <w:tc>
          <w:tcPr>
            <w:tcW w:w="5167"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4642"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1486"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rsidTr="0087435D">
        <w:tc>
          <w:tcPr>
            <w:tcW w:w="5167"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3.57</w:t>
            </w:r>
            <w:r w:rsidRPr="0087435D">
              <w:rPr>
                <w:rFonts w:ascii="Calibri" w:hAnsi="Calibri"/>
                <w:sz w:val="18"/>
                <w:lang w:val="pt-BR"/>
              </w:rPr>
              <w:t xml:space="preserve"> - Número de comarcas com a competência delegada nas ações previdenciárias e execuções fiscais cessada.</w:t>
            </w:r>
          </w:p>
        </w:tc>
        <w:tc>
          <w:tcPr>
            <w:tcW w:w="4642"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2" w:name="meta_PRESIDÊNCIA_11"/>
            <w:bookmarkEnd w:id="32"/>
            <w:r w:rsidRPr="0087435D">
              <w:rPr>
                <w:rFonts w:ascii="Calibri" w:hAnsi="Calibri"/>
                <w:b/>
                <w:sz w:val="18"/>
                <w:lang w:val="pt-BR"/>
              </w:rPr>
              <w:t>TJMG 128</w:t>
            </w:r>
            <w:r w:rsidRPr="0087435D">
              <w:rPr>
                <w:rFonts w:ascii="Calibri" w:hAnsi="Calibri"/>
                <w:sz w:val="18"/>
                <w:lang w:val="pt-BR"/>
              </w:rPr>
              <w:t xml:space="preserve"> - Cessar a competência delegada nas ações previdenciárias e execuções fiscais em pelo menos 40 (quarenta) comarcas até dezembro de 2025.</w:t>
            </w:r>
          </w:p>
        </w:tc>
        <w:tc>
          <w:tcPr>
            <w:tcW w:w="141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Presidência</w:t>
            </w:r>
            <w:proofErr w:type="spellEnd"/>
          </w:p>
        </w:tc>
        <w:tc>
          <w:tcPr>
            <w:tcW w:w="130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07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64</w:t>
            </w:r>
          </w:p>
        </w:tc>
        <w:tc>
          <w:tcPr>
            <w:tcW w:w="410"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91</w:t>
            </w:r>
          </w:p>
        </w:tc>
      </w:tr>
      <w:tr w:rsidR="00760DE1" w:rsidRPr="0087435D" w:rsidTr="0087435D">
        <w:tc>
          <w:tcPr>
            <w:tcW w:w="15353" w:type="dxa"/>
            <w:gridSpan w:val="7"/>
            <w:tcBorders>
              <w:top w:val="single" w:sz="2" w:space="0" w:color="A6A6A6"/>
              <w:left w:val="single" w:sz="2" w:space="0" w:color="A6A6A6"/>
              <w:bottom w:val="single" w:sz="2" w:space="0" w:color="A6A6A6"/>
              <w:right w:val="single" w:sz="2" w:space="0" w:color="A6A6A6"/>
            </w:tcBorders>
          </w:tcPr>
          <w:p w:rsidR="002904BA" w:rsidRDefault="0087435D">
            <w:pPr>
              <w:spacing w:after="0"/>
              <w:jc w:val="both"/>
              <w:rPr>
                <w:rFonts w:ascii="Calibri" w:hAnsi="Calibri"/>
                <w:sz w:val="20"/>
                <w:lang w:val="pt-BR"/>
              </w:rPr>
            </w:pPr>
            <w:r w:rsidRPr="0087435D">
              <w:rPr>
                <w:rFonts w:ascii="Calibri" w:hAnsi="Calibri"/>
                <w:b/>
                <w:sz w:val="20"/>
                <w:lang w:val="pt-BR"/>
              </w:rPr>
              <w:t xml:space="preserve">Situação: </w:t>
            </w:r>
            <w:r w:rsidRPr="0087435D">
              <w:rPr>
                <w:rFonts w:ascii="Calibri" w:hAnsi="Calibri"/>
                <w:sz w:val="20"/>
                <w:lang w:val="pt-BR"/>
              </w:rPr>
              <w:t xml:space="preserve">Desde junho de 2024 até dezembro de 2025, já foram cessadas as </w:t>
            </w:r>
            <w:proofErr w:type="gramStart"/>
            <w:r w:rsidRPr="0087435D">
              <w:rPr>
                <w:rFonts w:ascii="Calibri" w:hAnsi="Calibri"/>
                <w:sz w:val="20"/>
                <w:lang w:val="pt-BR"/>
              </w:rPr>
              <w:t>competências delegada</w:t>
            </w:r>
            <w:proofErr w:type="gramEnd"/>
            <w:r w:rsidRPr="0087435D">
              <w:rPr>
                <w:rFonts w:ascii="Calibri" w:hAnsi="Calibri"/>
                <w:sz w:val="20"/>
                <w:lang w:val="pt-BR"/>
              </w:rPr>
              <w:t xml:space="preserve"> em 64 Comarcas, elencadas a seguir, representando o alcance da meta de 2025. </w:t>
            </w:r>
          </w:p>
          <w:p w:rsidR="00760DE1" w:rsidRPr="0087435D" w:rsidRDefault="0087435D">
            <w:pPr>
              <w:spacing w:after="0"/>
              <w:jc w:val="both"/>
              <w:rPr>
                <w:lang w:val="pt-BR"/>
              </w:rPr>
            </w:pPr>
            <w:r w:rsidRPr="0087435D">
              <w:rPr>
                <w:rFonts w:ascii="Calibri" w:hAnsi="Calibri"/>
                <w:sz w:val="20"/>
                <w:lang w:val="pt-BR"/>
              </w:rPr>
              <w:t xml:space="preserve">2024 (26 comarcas): </w:t>
            </w:r>
          </w:p>
          <w:p w:rsidR="00760DE1" w:rsidRPr="0087435D" w:rsidRDefault="0087435D">
            <w:pPr>
              <w:spacing w:after="0"/>
              <w:jc w:val="both"/>
              <w:rPr>
                <w:lang w:val="pt-BR"/>
              </w:rPr>
            </w:pPr>
            <w:r w:rsidRPr="0087435D">
              <w:rPr>
                <w:rFonts w:ascii="Calibri" w:hAnsi="Calibri"/>
                <w:sz w:val="20"/>
                <w:lang w:val="pt-BR"/>
              </w:rPr>
              <w:t xml:space="preserve">•18 comarcas em decorrência da institucionalização do entendimento de que a UAA é funcionalmente equivalente a uma vara e declarou-se cessada a competência delegada de Águas Formosas; Almenara; Araçuaí; Capelinha; Carangola; Carlos Chagas; Corinto; Curvelo; Diamantina; Jacinto; Jequitinhonha; Malacacheta; Medina; Mutum; Nanuque; Novo Cruzeiro; Pedra Azul e Serro; </w:t>
            </w:r>
          </w:p>
          <w:p w:rsidR="00760DE1" w:rsidRPr="0087435D" w:rsidRDefault="0087435D">
            <w:pPr>
              <w:spacing w:after="0"/>
              <w:jc w:val="both"/>
              <w:rPr>
                <w:lang w:val="pt-BR"/>
              </w:rPr>
            </w:pPr>
            <w:r w:rsidRPr="0087435D">
              <w:rPr>
                <w:rFonts w:ascii="Calibri" w:hAnsi="Calibri"/>
                <w:sz w:val="20"/>
                <w:lang w:val="pt-BR"/>
              </w:rPr>
              <w:t xml:space="preserve">•1 comarcas em decorrência instalada em Comarcas do TJMG - projeto piloto: Patrocínio; e </w:t>
            </w:r>
          </w:p>
          <w:p w:rsidR="002904BA" w:rsidRDefault="0087435D">
            <w:pPr>
              <w:spacing w:after="0"/>
              <w:jc w:val="both"/>
              <w:rPr>
                <w:rFonts w:ascii="Calibri" w:hAnsi="Calibri"/>
                <w:sz w:val="20"/>
                <w:lang w:val="pt-BR"/>
              </w:rPr>
            </w:pPr>
            <w:r w:rsidRPr="0087435D">
              <w:rPr>
                <w:rFonts w:ascii="Calibri" w:hAnsi="Calibri"/>
                <w:sz w:val="20"/>
                <w:lang w:val="pt-BR"/>
              </w:rPr>
              <w:t xml:space="preserve">•7 comarcas em decorrência de parcerias com municípios (Prefeituras): Araguari, Barão de Cocais, Divino, Estrela do Sul, Itabira, Santa Bárbara e Tupaciguara. </w:t>
            </w:r>
          </w:p>
          <w:p w:rsidR="00760DE1" w:rsidRPr="0087435D" w:rsidRDefault="0087435D">
            <w:pPr>
              <w:spacing w:after="0"/>
              <w:jc w:val="both"/>
              <w:rPr>
                <w:lang w:val="pt-BR"/>
              </w:rPr>
            </w:pPr>
            <w:r w:rsidRPr="0087435D">
              <w:rPr>
                <w:rFonts w:ascii="Calibri" w:hAnsi="Calibri"/>
                <w:sz w:val="20"/>
                <w:lang w:val="pt-BR"/>
              </w:rPr>
              <w:t xml:space="preserve">2025 (38 comarcas): </w:t>
            </w:r>
          </w:p>
          <w:p w:rsidR="00760DE1" w:rsidRPr="0087435D" w:rsidRDefault="0087435D">
            <w:pPr>
              <w:spacing w:after="0"/>
              <w:jc w:val="both"/>
              <w:rPr>
                <w:lang w:val="pt-BR"/>
              </w:rPr>
            </w:pPr>
            <w:r w:rsidRPr="0087435D">
              <w:rPr>
                <w:rFonts w:ascii="Calibri" w:hAnsi="Calibri"/>
                <w:sz w:val="20"/>
                <w:lang w:val="pt-BR"/>
              </w:rPr>
              <w:t xml:space="preserve">•30 comarcas em decorrência instalada em Comarcas do TJMG: Monte Carmelo, Nova Ponte, Minas Novas, Turmalina, Januária, Manga, Montalvânia, Boa Esperança, Candeias, Taiobeiras, Rio Pardo de Minas, São João do Paraíso, João Pinheiro, Coração de Jesus, Brasília de Minas,  Baependi, Aiuruoca, Caxambu, Conceição do Rio Verde, Cruzília, Abaeté, Pompéu, Martinho Campos, Lambari, Carmo de Minas, Cristina, Natércia, </w:t>
            </w:r>
            <w:proofErr w:type="spellStart"/>
            <w:r w:rsidRPr="0087435D">
              <w:rPr>
                <w:rFonts w:ascii="Calibri" w:hAnsi="Calibri"/>
                <w:sz w:val="20"/>
                <w:lang w:val="pt-BR"/>
              </w:rPr>
              <w:t>Pedralva</w:t>
            </w:r>
            <w:proofErr w:type="spellEnd"/>
            <w:r w:rsidRPr="0087435D">
              <w:rPr>
                <w:rFonts w:ascii="Calibri" w:hAnsi="Calibri"/>
                <w:sz w:val="20"/>
                <w:lang w:val="pt-BR"/>
              </w:rPr>
              <w:t xml:space="preserve">, São Lourenço e Caratinga, e </w:t>
            </w:r>
          </w:p>
          <w:p w:rsidR="00760DE1" w:rsidRPr="0087435D" w:rsidRDefault="0087435D">
            <w:pPr>
              <w:spacing w:after="0"/>
              <w:jc w:val="both"/>
              <w:rPr>
                <w:lang w:val="pt-BR"/>
              </w:rPr>
            </w:pPr>
            <w:r w:rsidRPr="0087435D">
              <w:rPr>
                <w:rFonts w:ascii="Calibri" w:hAnsi="Calibri"/>
                <w:sz w:val="20"/>
                <w:lang w:val="pt-BR"/>
              </w:rPr>
              <w:t xml:space="preserve">•8 comarcas em decorrência de parcerias com municípios (Prefeituras):  Guaxupé, Monte Belo, Muzambinho, Arcos, Formiga, Lagoa da Prata, </w:t>
            </w:r>
            <w:proofErr w:type="spellStart"/>
            <w:r w:rsidRPr="0087435D">
              <w:rPr>
                <w:rFonts w:ascii="Calibri" w:hAnsi="Calibri"/>
                <w:sz w:val="20"/>
                <w:lang w:val="pt-BR"/>
              </w:rPr>
              <w:t>Iguatama</w:t>
            </w:r>
            <w:proofErr w:type="spellEnd"/>
            <w:r w:rsidRPr="0087435D">
              <w:rPr>
                <w:rFonts w:ascii="Calibri" w:hAnsi="Calibri"/>
                <w:sz w:val="20"/>
                <w:lang w:val="pt-BR"/>
              </w:rPr>
              <w:t xml:space="preserve"> e Bambuí.</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3.58</w:t>
            </w:r>
            <w:r w:rsidRPr="0087435D">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3" w:name="meta_PRESIDÊNCIA_12"/>
            <w:bookmarkEnd w:id="33"/>
            <w:r w:rsidRPr="0087435D">
              <w:rPr>
                <w:rFonts w:ascii="Calibri" w:hAnsi="Calibri"/>
                <w:b/>
                <w:sz w:val="18"/>
                <w:lang w:val="pt-BR"/>
              </w:rPr>
              <w:t>TJMG 130</w:t>
            </w:r>
            <w:r w:rsidRPr="0087435D">
              <w:rPr>
                <w:rFonts w:ascii="Calibri" w:hAnsi="Calibri"/>
                <w:sz w:val="18"/>
                <w:lang w:val="pt-BR"/>
              </w:rPr>
              <w:t xml:space="preserve"> - Implantar a Central de Processos Eletrônicos (CPE) em 13 (treze) Grupos Jurisdicionais das Turmas Recursais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A implantação da CPE-TR contribui para o aumento da eficiência da prestação jurisdicional de primeira instância, ao promover a desburocratização, a padronização dos fluxos de processos de trabalho e a inovação na gestão processual. O modelo possibilita maior celeridade na tramitação dos processos judiciais, oferece suporte aos magistrados no cumprimento de despachos, diligências, decisões, acórdãos e na realização das sessões de julgamento, além de proporcionar um gerenciamento mais eficiente das equipes, com ganhos de transparência e produtividade. A CPE-TR possui competência para executar todas as atividades típicas de secretaria de juízo, sem vinculação a uma unidade judiciária específica, concentrando e racionalizando a força de trabalho em uma única central. Em 2025, previu-se a implantação da CPE-TR em 13 Grupos Jurisdicionais no ano de 2025, o resultado superou o quantitativo inicialmente estabelecido, com a implantação efetiva em 17 Grupos Jurisdicionais no referido exercício, sendo: Conselheiro Lafaiete, Uberlândia, Araguari, Uberaba, Passos, Paracatu, Divinópolis, Ipatinga, Varginha, Lavras, Ubá, Viçosa, Barbacena, Cataguases, Sete Lagoas, Curvelo e Muriaé. Somadas às implantações realizadas em 2024 (Montes Claros (projeto-piloto), Governador Valadares e Teófilo Otoni), totalizam-se, desde abril de 2024, 20 Grupos Jurisdicionais abrangidos pela CPE-TR. Há, por fim, perspectiva de implantação da Central nos 11 Grupos Jurisdicionais restantes até junho de 2026, consolidando o modelo em todo o Estado.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3.60</w:t>
            </w:r>
            <w:r w:rsidRPr="0087435D">
              <w:rPr>
                <w:rFonts w:ascii="Calibri" w:hAnsi="Calibri"/>
                <w:sz w:val="18"/>
                <w:lang w:val="pt-BR"/>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4" w:name="meta_PRESIDÊNCIA_13"/>
            <w:bookmarkEnd w:id="34"/>
            <w:r w:rsidRPr="0087435D">
              <w:rPr>
                <w:rFonts w:ascii="Calibri" w:hAnsi="Calibri"/>
                <w:b/>
                <w:sz w:val="18"/>
                <w:lang w:val="pt-BR"/>
              </w:rPr>
              <w:t>TJMG 133</w:t>
            </w:r>
            <w:r w:rsidRPr="0087435D">
              <w:rPr>
                <w:rFonts w:ascii="Calibri" w:hAnsi="Calibri"/>
                <w:sz w:val="18"/>
                <w:lang w:val="pt-BR"/>
              </w:rPr>
              <w:t xml:space="preserve"> - Instalar, em 2025, o </w:t>
            </w:r>
            <w:proofErr w:type="spellStart"/>
            <w:r w:rsidRPr="0087435D">
              <w:rPr>
                <w:rFonts w:ascii="Calibri" w:hAnsi="Calibri"/>
                <w:sz w:val="18"/>
                <w:lang w:val="pt-BR"/>
              </w:rPr>
              <w:t>eproc</w:t>
            </w:r>
            <w:proofErr w:type="spellEnd"/>
            <w:r w:rsidRPr="0087435D">
              <w:rPr>
                <w:rFonts w:ascii="Calibri" w:hAnsi="Calibri"/>
                <w:sz w:val="18"/>
                <w:lang w:val="pt-BR"/>
              </w:rPr>
              <w:t xml:space="preserve"> nas unidades da justiça comum e especial com competência cível de Belo Horizonte, e nas </w:t>
            </w:r>
            <w:proofErr w:type="gramStart"/>
            <w:r w:rsidRPr="0087435D">
              <w:rPr>
                <w:rFonts w:ascii="Calibri" w:hAnsi="Calibri"/>
                <w:sz w:val="18"/>
                <w:lang w:val="pt-BR"/>
              </w:rPr>
              <w:t>Câmaras</w:t>
            </w:r>
            <w:proofErr w:type="gramEnd"/>
            <w:r w:rsidRPr="0087435D">
              <w:rPr>
                <w:rFonts w:ascii="Calibri" w:hAnsi="Calibri"/>
                <w:sz w:val="18"/>
                <w:lang w:val="pt-BR"/>
              </w:rPr>
              <w:t xml:space="preserve">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estratégica TJMG 133 previu “Instalar, em 2025, o </w:t>
            </w:r>
            <w:proofErr w:type="spellStart"/>
            <w:r w:rsidRPr="0087435D">
              <w:rPr>
                <w:rFonts w:ascii="Calibri" w:hAnsi="Calibri"/>
                <w:sz w:val="20"/>
                <w:lang w:val="pt-BR"/>
              </w:rPr>
              <w:t>eproc</w:t>
            </w:r>
            <w:proofErr w:type="spellEnd"/>
            <w:r w:rsidRPr="0087435D">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de melhor comunicar o trabalho realizado ao longo do ano, propõe-se a alteração da meta aprovada para “concluir, em 2025, 100% dos ciclos de expansão previstos para a instalação do sistema </w:t>
            </w:r>
            <w:proofErr w:type="spellStart"/>
            <w:r w:rsidRPr="0087435D">
              <w:rPr>
                <w:rFonts w:ascii="Calibri" w:hAnsi="Calibri"/>
                <w:sz w:val="20"/>
                <w:lang w:val="pt-BR"/>
              </w:rPr>
              <w:t>eproc</w:t>
            </w:r>
            <w:proofErr w:type="spellEnd"/>
            <w:r w:rsidRPr="0087435D">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0"/>
        <w:gridCol w:w="4638"/>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3.69</w:t>
            </w:r>
            <w:r w:rsidRPr="0087435D">
              <w:rPr>
                <w:rFonts w:ascii="Calibri" w:hAnsi="Calibri"/>
                <w:sz w:val="18"/>
                <w:lang w:val="pt-BR"/>
              </w:rPr>
              <w:t xml:space="preserve"> - Número de comarcas do interior com competência cível lato senso com o </w:t>
            </w:r>
            <w:proofErr w:type="spellStart"/>
            <w:r w:rsidRPr="0087435D">
              <w:rPr>
                <w:rFonts w:ascii="Calibri" w:hAnsi="Calibri"/>
                <w:sz w:val="18"/>
                <w:lang w:val="pt-BR"/>
              </w:rPr>
              <w:t>eproc</w:t>
            </w:r>
            <w:proofErr w:type="spellEnd"/>
            <w:r w:rsidRPr="0087435D">
              <w:rPr>
                <w:rFonts w:ascii="Calibri" w:hAnsi="Calibri"/>
                <w:sz w:val="18"/>
                <w:lang w:val="pt-BR"/>
              </w:rPr>
              <w:t xml:space="preserve"> implantado.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5" w:name="meta_PRESIDÊNCIA_14"/>
            <w:bookmarkEnd w:id="35"/>
            <w:r w:rsidRPr="0087435D">
              <w:rPr>
                <w:rFonts w:ascii="Calibri" w:hAnsi="Calibri"/>
                <w:b/>
                <w:sz w:val="18"/>
                <w:lang w:val="pt-BR"/>
              </w:rPr>
              <w:t>TJMG 156</w:t>
            </w:r>
            <w:r w:rsidRPr="0087435D">
              <w:rPr>
                <w:rFonts w:ascii="Calibri" w:hAnsi="Calibri"/>
                <w:sz w:val="18"/>
                <w:lang w:val="pt-BR"/>
              </w:rPr>
              <w:t xml:space="preserve"> - Implantar o </w:t>
            </w:r>
            <w:proofErr w:type="spellStart"/>
            <w:r w:rsidRPr="0087435D">
              <w:rPr>
                <w:rFonts w:ascii="Calibri" w:hAnsi="Calibri"/>
                <w:sz w:val="18"/>
                <w:lang w:val="pt-BR"/>
              </w:rPr>
              <w:t>eproc</w:t>
            </w:r>
            <w:proofErr w:type="spellEnd"/>
            <w:r w:rsidRPr="0087435D">
              <w:rPr>
                <w:rFonts w:ascii="Calibri" w:hAnsi="Calibri"/>
                <w:sz w:val="18"/>
                <w:lang w:val="pt-BR"/>
              </w:rPr>
              <w:t xml:space="preserve"> em 84 (oitenta e quatro) comarcas do Interior com competência cível lato sensu, conforme os ciclos previstos na Portaria Conjunta nº 1.681/2025,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156, aprovada em outubro pelo Comitê de Governança e Gestão Estratégica, foi estabelecida após a publicação da Portaria Conjunta n° 1.681/2025, que previu que a expansão do Sistema </w:t>
            </w:r>
            <w:proofErr w:type="spellStart"/>
            <w:r w:rsidRPr="0087435D">
              <w:rPr>
                <w:rFonts w:ascii="Calibri" w:hAnsi="Calibri"/>
                <w:sz w:val="20"/>
                <w:lang w:val="pt-BR"/>
              </w:rPr>
              <w:t>eproc</w:t>
            </w:r>
            <w:proofErr w:type="spellEnd"/>
            <w:r w:rsidRPr="0087435D">
              <w:rPr>
                <w:rFonts w:ascii="Calibri" w:hAnsi="Calibri"/>
                <w:sz w:val="20"/>
                <w:lang w:val="pt-BR"/>
              </w:rPr>
              <w:t xml:space="preserve"> para as comarcas com competência cível lato sensu do interior do estado de Minas Gerais seria conduzida em 5 ciclos de implantação, como forma de contemplar as 297 comarcas que ainda não receberam o sistema. Até novembro de 2025, conforme o cronograma estipulado pela própria Portaria, 2 ciclos de expansão já foram concluídos, contemplando um total de 84 comarcas: 39 no 1° ciclo e 45 no 2° ciclo. Nesse sentido, a meta estipulada foi alcançada. Para o ano de 2026, estão ainda previstos 3 ciclos de expansão, que buscarão contemplar as demais 213 comarcas restantes</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9.13</w:t>
            </w:r>
            <w:r w:rsidRPr="0087435D">
              <w:rPr>
                <w:rFonts w:ascii="Calibri" w:hAnsi="Calibri"/>
                <w:sz w:val="18"/>
                <w:lang w:val="pt-BR"/>
              </w:rPr>
              <w:t xml:space="preserve"> - Taxa de entregas realizadas pelo UAI-</w:t>
            </w:r>
            <w:proofErr w:type="spellStart"/>
            <w:r w:rsidRPr="0087435D">
              <w:rPr>
                <w:rFonts w:ascii="Calibri" w:hAnsi="Calibri"/>
                <w:sz w:val="18"/>
                <w:lang w:val="pt-BR"/>
              </w:rPr>
              <w:t>Lab</w:t>
            </w:r>
            <w:proofErr w:type="spellEnd"/>
            <w:r w:rsidRPr="0087435D">
              <w:rPr>
                <w:rFonts w:ascii="Calibri" w:hAnsi="Calibri"/>
                <w:sz w:val="18"/>
                <w:lang w:val="pt-BR"/>
              </w:rPr>
              <w:t xml:space="preserve">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6" w:name="meta_PRESIDÊNCIA_15"/>
            <w:bookmarkEnd w:id="36"/>
            <w:r w:rsidRPr="0087435D">
              <w:rPr>
                <w:rFonts w:ascii="Calibri" w:hAnsi="Calibri"/>
                <w:b/>
                <w:sz w:val="18"/>
                <w:lang w:val="pt-BR"/>
              </w:rPr>
              <w:t>TJMG 62</w:t>
            </w:r>
            <w:r w:rsidRPr="0087435D">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rFonts w:ascii="Calibri" w:hAnsi="Calibri"/>
                <w:color w:val="00FF00"/>
                <w:sz w:val="32"/>
              </w:rPr>
            </w:pPr>
            <w:r w:rsidRPr="0087435D">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43</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E96F51" w:rsidRDefault="0087435D">
            <w:pPr>
              <w:spacing w:after="0"/>
              <w:jc w:val="both"/>
              <w:rPr>
                <w:rFonts w:ascii="Calibri" w:hAnsi="Calibri"/>
                <w:sz w:val="20"/>
                <w:lang w:val="pt-BR"/>
              </w:rPr>
            </w:pPr>
            <w:r w:rsidRPr="0087435D">
              <w:rPr>
                <w:rFonts w:ascii="Calibri" w:hAnsi="Calibri"/>
                <w:b/>
                <w:sz w:val="20"/>
                <w:lang w:val="pt-BR"/>
              </w:rPr>
              <w:t xml:space="preserve">Situação: </w:t>
            </w:r>
            <w:r w:rsidRPr="0087435D">
              <w:rPr>
                <w:rFonts w:ascii="Calibri" w:hAnsi="Calibri"/>
                <w:sz w:val="20"/>
                <w:lang w:val="pt-BR"/>
              </w:rPr>
              <w:t>A meta da iniciativa 43 - Programa INOVA TJMG é cumprir até dezembro de 2025, 100% das entregas previstas para o ano de 2025</w:t>
            </w:r>
            <w:r w:rsidR="00E96F51">
              <w:rPr>
                <w:rFonts w:ascii="Calibri" w:hAnsi="Calibri"/>
                <w:sz w:val="20"/>
                <w:lang w:val="pt-BR"/>
              </w:rPr>
              <w:t>.</w:t>
            </w:r>
            <w:r w:rsidRPr="0087435D">
              <w:rPr>
                <w:rFonts w:ascii="Calibri" w:hAnsi="Calibri"/>
                <w:sz w:val="20"/>
                <w:lang w:val="pt-BR"/>
              </w:rPr>
              <w:t xml:space="preserve"> Das 18 entregas previstas para 2025, 1 (uma) entrega foi cancelada e 17 (dezessete) entregas foram concluídas. </w:t>
            </w:r>
          </w:p>
          <w:p w:rsidR="00760DE1" w:rsidRPr="0087435D" w:rsidRDefault="0087435D">
            <w:pPr>
              <w:spacing w:after="0"/>
              <w:jc w:val="both"/>
              <w:rPr>
                <w:lang w:val="pt-BR"/>
              </w:rPr>
            </w:pPr>
            <w:r w:rsidRPr="0087435D">
              <w:rPr>
                <w:rFonts w:ascii="Calibri" w:hAnsi="Calibri"/>
                <w:sz w:val="20"/>
                <w:lang w:val="pt-BR"/>
              </w:rPr>
              <w:t xml:space="preserve">O que representa o valor apurado de 100% até 10/12/2025. As entregas realizadas foram: </w:t>
            </w:r>
          </w:p>
          <w:p w:rsidR="00760DE1" w:rsidRPr="0087435D" w:rsidRDefault="0087435D">
            <w:pPr>
              <w:spacing w:after="0"/>
              <w:jc w:val="both"/>
              <w:rPr>
                <w:lang w:val="pt-BR"/>
              </w:rPr>
            </w:pPr>
            <w:r w:rsidRPr="0087435D">
              <w:rPr>
                <w:rFonts w:ascii="Calibri" w:hAnsi="Calibri"/>
                <w:sz w:val="20"/>
                <w:lang w:val="pt-BR"/>
              </w:rPr>
              <w:t xml:space="preserve">•23 iniciativas agraciadas com o Certificado Agenda 2030; </w:t>
            </w:r>
          </w:p>
          <w:p w:rsidR="00760DE1" w:rsidRPr="0087435D" w:rsidRDefault="0087435D">
            <w:pPr>
              <w:spacing w:after="0"/>
              <w:jc w:val="both"/>
              <w:rPr>
                <w:lang w:val="pt-BR"/>
              </w:rPr>
            </w:pPr>
            <w:r w:rsidRPr="0087435D">
              <w:rPr>
                <w:rFonts w:ascii="Calibri" w:hAnsi="Calibri"/>
                <w:sz w:val="20"/>
                <w:lang w:val="pt-BR"/>
              </w:rPr>
              <w:t xml:space="preserve">•Lançamento da cartilha ‘Você não está sozinha’ para o combate à Violência Doméstica; </w:t>
            </w:r>
          </w:p>
          <w:p w:rsidR="00760DE1" w:rsidRPr="0087435D" w:rsidRDefault="0087435D">
            <w:pPr>
              <w:spacing w:after="0"/>
              <w:jc w:val="both"/>
              <w:rPr>
                <w:lang w:val="pt-BR"/>
              </w:rPr>
            </w:pPr>
            <w:r w:rsidRPr="0087435D">
              <w:rPr>
                <w:rFonts w:ascii="Calibri" w:hAnsi="Calibri"/>
                <w:sz w:val="20"/>
                <w:lang w:val="pt-BR"/>
              </w:rPr>
              <w:t xml:space="preserve">•Lançamento da cartilha ‘Conectando você à Justiça’, dos Fóruns Digitais; </w:t>
            </w:r>
          </w:p>
          <w:p w:rsidR="00760DE1" w:rsidRPr="0087435D" w:rsidRDefault="0087435D">
            <w:pPr>
              <w:spacing w:after="0"/>
              <w:jc w:val="both"/>
              <w:rPr>
                <w:lang w:val="pt-BR"/>
              </w:rPr>
            </w:pPr>
            <w:r w:rsidRPr="0087435D">
              <w:rPr>
                <w:rFonts w:ascii="Calibri" w:hAnsi="Calibri"/>
                <w:sz w:val="20"/>
                <w:lang w:val="pt-BR"/>
              </w:rPr>
              <w:t xml:space="preserve">•Desenvolvimento de automações e de protótipos de I.A para aprimorar a eficiência operacional e apoiar os magistrados, os colaboradores e os servidores no fluxo de suas atividades diárias; </w:t>
            </w:r>
          </w:p>
          <w:p w:rsidR="00760DE1" w:rsidRPr="0087435D" w:rsidRDefault="0087435D">
            <w:pPr>
              <w:spacing w:after="0"/>
              <w:jc w:val="both"/>
              <w:rPr>
                <w:lang w:val="pt-BR"/>
              </w:rPr>
            </w:pPr>
            <w:r w:rsidRPr="0087435D">
              <w:rPr>
                <w:rFonts w:ascii="Calibri" w:hAnsi="Calibri"/>
                <w:sz w:val="20"/>
                <w:lang w:val="pt-BR"/>
              </w:rPr>
              <w:t xml:space="preserve">•Oficina de Inovação para Comissão de Assédio; </w:t>
            </w:r>
          </w:p>
          <w:p w:rsidR="00760DE1" w:rsidRPr="0087435D" w:rsidRDefault="0087435D">
            <w:pPr>
              <w:spacing w:after="0"/>
              <w:jc w:val="both"/>
              <w:rPr>
                <w:lang w:val="pt-BR"/>
              </w:rPr>
            </w:pPr>
            <w:r w:rsidRPr="0087435D">
              <w:rPr>
                <w:rFonts w:ascii="Calibri" w:hAnsi="Calibri"/>
                <w:sz w:val="20"/>
                <w:lang w:val="pt-BR"/>
              </w:rPr>
              <w:t xml:space="preserve">•Oficina de Linguagem Simples e Direito Visual para complementar curso EAD. </w:t>
            </w:r>
          </w:p>
          <w:p w:rsidR="00760DE1" w:rsidRPr="0087435D" w:rsidRDefault="0087435D">
            <w:pPr>
              <w:spacing w:after="0"/>
              <w:jc w:val="both"/>
              <w:rPr>
                <w:lang w:val="pt-BR"/>
              </w:rPr>
            </w:pPr>
            <w:r w:rsidRPr="0087435D">
              <w:rPr>
                <w:rFonts w:ascii="Calibri" w:hAnsi="Calibri"/>
                <w:sz w:val="20"/>
                <w:lang w:val="pt-BR"/>
              </w:rPr>
              <w:t xml:space="preserve">•Oficina de Linguagem Simples e Direito Visual para Semana Nacional dos Juizados - "Pensar, Criar e Simplificar"; </w:t>
            </w:r>
          </w:p>
          <w:p w:rsidR="00760DE1" w:rsidRPr="0087435D" w:rsidRDefault="0087435D">
            <w:pPr>
              <w:spacing w:after="0"/>
              <w:jc w:val="both"/>
              <w:rPr>
                <w:lang w:val="pt-BR"/>
              </w:rPr>
            </w:pPr>
            <w:r w:rsidRPr="0087435D">
              <w:rPr>
                <w:rFonts w:ascii="Calibri" w:hAnsi="Calibri"/>
                <w:sz w:val="20"/>
                <w:lang w:val="pt-BR"/>
              </w:rPr>
              <w:t xml:space="preserve">•Oficina de Linguagem Simples e Direito Visual para o Curso de Formação Inicial – CFI; </w:t>
            </w:r>
          </w:p>
          <w:p w:rsidR="00760DE1" w:rsidRPr="0087435D" w:rsidRDefault="0087435D">
            <w:pPr>
              <w:spacing w:after="0"/>
              <w:jc w:val="both"/>
              <w:rPr>
                <w:lang w:val="pt-BR"/>
              </w:rPr>
            </w:pPr>
            <w:r w:rsidRPr="0087435D">
              <w:rPr>
                <w:rFonts w:ascii="Calibri" w:hAnsi="Calibri"/>
                <w:sz w:val="20"/>
                <w:lang w:val="pt-BR"/>
              </w:rPr>
              <w:t xml:space="preserve">•Desenvolvido o ‘Glossário de Termos Jurídicos’ em Linguagem Simples para utilização no portal do TJMG; </w:t>
            </w:r>
          </w:p>
          <w:p w:rsidR="00760DE1" w:rsidRPr="0087435D" w:rsidRDefault="0087435D">
            <w:pPr>
              <w:spacing w:after="0"/>
              <w:jc w:val="both"/>
              <w:rPr>
                <w:lang w:val="pt-BR"/>
              </w:rPr>
            </w:pPr>
            <w:r w:rsidRPr="0087435D">
              <w:rPr>
                <w:rFonts w:ascii="Calibri" w:hAnsi="Calibri"/>
                <w:sz w:val="20"/>
                <w:lang w:val="pt-BR"/>
              </w:rPr>
              <w:t xml:space="preserve">•Elaborado o ‘Guia de como utilizar o Juizado Especial’ em Linguagem Simples e Direito Visual; </w:t>
            </w:r>
          </w:p>
          <w:p w:rsidR="00760DE1" w:rsidRPr="0087435D" w:rsidRDefault="0087435D">
            <w:pPr>
              <w:spacing w:after="0"/>
              <w:jc w:val="both"/>
              <w:rPr>
                <w:lang w:val="pt-BR"/>
              </w:rPr>
            </w:pPr>
            <w:r w:rsidRPr="0087435D">
              <w:rPr>
                <w:rFonts w:ascii="Calibri" w:hAnsi="Calibri"/>
                <w:sz w:val="20"/>
                <w:lang w:val="pt-BR"/>
              </w:rPr>
              <w:t xml:space="preserve">•Elaborado o ‘Guia de Orientações para a Audiência Virtual’ em Linguagem Simples e Direito Visual; e </w:t>
            </w:r>
          </w:p>
          <w:p w:rsidR="00760DE1" w:rsidRPr="0087435D" w:rsidRDefault="0087435D">
            <w:pPr>
              <w:spacing w:after="0"/>
              <w:jc w:val="both"/>
              <w:rPr>
                <w:lang w:val="pt-BR"/>
              </w:rPr>
            </w:pPr>
            <w:r w:rsidRPr="0087435D">
              <w:rPr>
                <w:rFonts w:ascii="Calibri" w:hAnsi="Calibri"/>
                <w:sz w:val="20"/>
                <w:lang w:val="pt-BR"/>
              </w:rPr>
              <w:t xml:space="preserve">•Realizado o evento </w:t>
            </w:r>
            <w:proofErr w:type="spellStart"/>
            <w:r w:rsidRPr="0087435D">
              <w:rPr>
                <w:rFonts w:ascii="Calibri" w:hAnsi="Calibri"/>
                <w:sz w:val="20"/>
                <w:lang w:val="pt-BR"/>
              </w:rPr>
              <w:t>Festilabs</w:t>
            </w:r>
            <w:proofErr w:type="spellEnd"/>
            <w:r w:rsidRPr="0087435D">
              <w:rPr>
                <w:rFonts w:ascii="Calibri" w:hAnsi="Calibri"/>
                <w:sz w:val="20"/>
                <w:lang w:val="pt-BR"/>
              </w:rPr>
              <w:t xml:space="preserve"> na Região Sudeste.</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9.25</w:t>
            </w:r>
            <w:r w:rsidRPr="0087435D">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7" w:name="meta_PRESIDÊNCIA_16"/>
            <w:bookmarkEnd w:id="37"/>
            <w:r w:rsidRPr="0087435D">
              <w:rPr>
                <w:rFonts w:ascii="Calibri" w:hAnsi="Calibri"/>
                <w:b/>
                <w:sz w:val="18"/>
                <w:lang w:val="pt-BR"/>
              </w:rPr>
              <w:t>TJMG 109</w:t>
            </w:r>
            <w:r w:rsidRPr="0087435D">
              <w:rPr>
                <w:rFonts w:ascii="Calibri" w:hAnsi="Calibri"/>
                <w:sz w:val="18"/>
                <w:lang w:val="pt-BR"/>
              </w:rPr>
              <w:t xml:space="preserve"> - Emitir, até 31/12/2025, Termo de Autorização de Ocupação - TAO ou, quando não houver ocupação, Termo de Recebimento Provisório - TRP, para pelo menos 70% (setenta por cento) das obras previstas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42,4%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20</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Para fins de mensuração da meta TJMG 109, foi estimada a conclusão de 33 obras para o ano de 2025. Até dezembro, 14 obras foram concluídas, correspondendo a um valor apurado de 42,4%. Dessas, 12 obras referiam-se à construção ou ampliação de Fóruns e, por isso, foram concluídas a partir da emissão do “Termo de Autorização para Ocupação - TAO” e outras 2 obras referiam-se à reforma do Heliponto do edifício Sede e do Ar condicionado da Corregedoria, razão pela qual sua conclusão foi contabilizada a partir da emissão do “Termo de Recebimento Provisório - TRP”. São elas: 4</w:t>
            </w:r>
          </w:p>
          <w:p w:rsidR="00760DE1" w:rsidRPr="0087435D" w:rsidRDefault="0087435D">
            <w:pPr>
              <w:spacing w:after="0"/>
              <w:jc w:val="both"/>
              <w:rPr>
                <w:lang w:val="pt-BR"/>
              </w:rPr>
            </w:pPr>
            <w:r w:rsidRPr="0087435D">
              <w:rPr>
                <w:rFonts w:ascii="Calibri" w:hAnsi="Calibri"/>
                <w:sz w:val="20"/>
                <w:lang w:val="pt-BR"/>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Guarani (31/07/2025); Igarapé (22/09/2025); Ipanema (29/09/2025). </w:t>
            </w:r>
          </w:p>
          <w:p w:rsidR="00760DE1" w:rsidRPr="0087435D" w:rsidRDefault="0087435D">
            <w:pPr>
              <w:spacing w:after="0"/>
              <w:jc w:val="both"/>
              <w:rPr>
                <w:lang w:val="pt-BR"/>
              </w:rPr>
            </w:pPr>
            <w:r w:rsidRPr="0087435D">
              <w:rPr>
                <w:rFonts w:ascii="Calibri" w:hAnsi="Calibri"/>
                <w:sz w:val="20"/>
                <w:lang w:val="pt-BR"/>
              </w:rPr>
              <w:t xml:space="preserve">•Obras com “Termo de Recebimento Provisório - TRP” emitidos: BH Sede - Heliponto (16/05/2025); BH – Corregedoria - Reforma Ar Condicionado (16/12/2025). Ressalta-se ainda, que, das demais 19 obras restantes: </w:t>
            </w:r>
          </w:p>
          <w:p w:rsidR="00760DE1" w:rsidRPr="0087435D" w:rsidRDefault="0087435D">
            <w:pPr>
              <w:spacing w:after="0"/>
              <w:jc w:val="both"/>
              <w:rPr>
                <w:lang w:val="pt-BR"/>
              </w:rPr>
            </w:pPr>
            <w:r w:rsidRPr="0087435D">
              <w:rPr>
                <w:rFonts w:ascii="Calibri" w:hAnsi="Calibri"/>
                <w:sz w:val="20"/>
                <w:lang w:val="pt-BR"/>
              </w:rPr>
              <w:t xml:space="preserve">•3 tiveram seus contratos rescindidos, sendo, portanto, canceladas para o ano de 2025: “Itajubá” e “Poços de Caldas”, cujas execuções eram conduzidas por empresa que passa por um processo de recuperação judicial, e, a obra de “BH Palácio - Reforma e Restauração”, que teve o contrato rescindido para que possa ser adaptado para atender a especificações de órgãos como o Museu da Memória do Judiciário Mineiro (MEJUD) e a Escola Nacional de Formação e Aperfeiçoamento de Magistrados Ministro Sálvio de Figueiredo Teixeira (ENFAM); </w:t>
            </w:r>
          </w:p>
          <w:p w:rsidR="00760DE1" w:rsidRPr="0087435D" w:rsidRDefault="0087435D">
            <w:pPr>
              <w:spacing w:after="0"/>
              <w:jc w:val="both"/>
              <w:rPr>
                <w:lang w:val="pt-BR"/>
              </w:rPr>
            </w:pPr>
            <w:r w:rsidRPr="0087435D">
              <w:rPr>
                <w:rFonts w:ascii="Calibri" w:hAnsi="Calibri"/>
                <w:sz w:val="20"/>
                <w:lang w:val="pt-BR"/>
              </w:rPr>
              <w:t xml:space="preserve">•2 (“BH – Olegário Maciel” e “Camanducaia”) estão suspensas, enquanto aguardam a publicação da rescisão contratual, e; </w:t>
            </w:r>
          </w:p>
          <w:p w:rsidR="00760DE1" w:rsidRPr="0087435D" w:rsidRDefault="0087435D">
            <w:pPr>
              <w:spacing w:after="0"/>
              <w:jc w:val="both"/>
              <w:rPr>
                <w:lang w:val="pt-BR"/>
              </w:rPr>
            </w:pPr>
            <w:r w:rsidRPr="0087435D">
              <w:rPr>
                <w:rFonts w:ascii="Calibri" w:hAnsi="Calibri"/>
                <w:sz w:val="20"/>
                <w:lang w:val="pt-BR"/>
              </w:rPr>
              <w:t>•14, inicialmente previstas para 2025, tiveram seu término replanejado para 2026 em razão da emissão de Termos Aditivos para prorrogação de seu prazo de execução.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9.26</w:t>
            </w:r>
            <w:r w:rsidRPr="0087435D">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8" w:name="meta_PRESIDÊNCIA_17"/>
            <w:bookmarkEnd w:id="38"/>
            <w:r w:rsidRPr="0087435D">
              <w:rPr>
                <w:rFonts w:ascii="Calibri" w:hAnsi="Calibri"/>
                <w:b/>
                <w:sz w:val="18"/>
                <w:lang w:val="pt-BR"/>
              </w:rPr>
              <w:t>TJMG 123</w:t>
            </w:r>
            <w:r w:rsidRPr="0087435D">
              <w:rPr>
                <w:rFonts w:ascii="Calibri" w:hAnsi="Calibri"/>
                <w:sz w:val="18"/>
                <w:lang w:val="pt-BR"/>
              </w:rPr>
              <w:t xml:space="preserve"> - Concluir 100% (cem por cento) das entregas previstas para o “Programa de Modernização dos Plenários, suas Áreas Externas e dos Painéis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87,39%</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81</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Verifica-se que, até dezembro de 2025, foram concluídas 26 entregas das 31 prevista para o Programa, sendo 6 em 2023, 13 em 2024 e 7 em 2025, obtendo um resultado apurado de 87,39%. As entregas concluídas em 2025, são: Implantação dos equipamentos Audiovisuais e TIC no Auditório do Juizado Especial Cível Implantação dos equipamentos Audiovisuais e TIC no Auditório do Pleno (ed. Sede). Implantação de </w:t>
            </w:r>
            <w:proofErr w:type="spellStart"/>
            <w:r w:rsidRPr="0087435D">
              <w:rPr>
                <w:rFonts w:ascii="Calibri" w:hAnsi="Calibri"/>
                <w:sz w:val="20"/>
                <w:lang w:val="pt-BR"/>
              </w:rPr>
              <w:t>VideoWall</w:t>
            </w:r>
            <w:proofErr w:type="spellEnd"/>
            <w:r w:rsidRPr="0087435D">
              <w:rPr>
                <w:rFonts w:ascii="Calibri" w:hAnsi="Calibri"/>
                <w:sz w:val="20"/>
                <w:lang w:val="pt-BR"/>
              </w:rPr>
              <w:t xml:space="preserve"> – Auditório do Pleno. Implantação do Projeto Piloto para transmissão ao vivo (streaming) das Sessões de Julgamento do Órgão Especial, utilizando a Plataforma </w:t>
            </w:r>
            <w:proofErr w:type="spellStart"/>
            <w:r w:rsidRPr="0087435D">
              <w:rPr>
                <w:rFonts w:ascii="Calibri" w:hAnsi="Calibri"/>
                <w:sz w:val="20"/>
                <w:lang w:val="pt-BR"/>
              </w:rPr>
              <w:t>Youtube</w:t>
            </w:r>
            <w:proofErr w:type="spellEnd"/>
            <w:r w:rsidRPr="0087435D">
              <w:rPr>
                <w:rFonts w:ascii="Calibri" w:hAnsi="Calibri"/>
                <w:sz w:val="20"/>
                <w:lang w:val="pt-BR"/>
              </w:rPr>
              <w:t xml:space="preserve">. Implantação e gerenciamento de Equipe Técnica para operacionalização dos novos equipamentos de áudio e TIC. Implantação do Software de Videoconferência. Implantação do Sistema de Emenda Regimental. Além dessas, 1 entrega foi cancelada, 1 não iniciada e 3 estão em andamento, com perspectiva de conclusão em 2026.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O projeto piloto para a transmissão ao vivo (Streaming) das Sessões de Julgamento no TJMG, foi considerado concluído em 13/08, com a primeira gravação da sessão do Órgão especial. As sessões do Órgão Especial passaram a ser integralmente transmitidas pelo canal oficial do TJMG no YouTube a partir de 10 de setembro de 2025, sendo vedada a transmissão de pautas submetidas a segredo de justiça. Com isso, o TJMG passa a cumprir os itens 12 e 13 constantes no Anexo da Portaria nº 406 do Conselho Nacional de justiça (CNJ) de 29 de novembro de 2024, que estabelece o regulamento do Ranking da Transparência do Poder Judiciário – 2025. A entrega Implantação da Plataforma </w:t>
            </w:r>
            <w:proofErr w:type="spellStart"/>
            <w:r w:rsidRPr="0087435D">
              <w:rPr>
                <w:rFonts w:ascii="Calibri" w:hAnsi="Calibri"/>
                <w:sz w:val="20"/>
                <w:lang w:val="pt-BR"/>
              </w:rPr>
              <w:t>Youtube</w:t>
            </w:r>
            <w:proofErr w:type="spellEnd"/>
            <w:r w:rsidRPr="0087435D">
              <w:rPr>
                <w:rFonts w:ascii="Calibri" w:hAnsi="Calibri"/>
                <w:sz w:val="20"/>
                <w:lang w:val="pt-BR"/>
              </w:rPr>
              <w:t xml:space="preserve"> para transmissão ao vivo (Streaming) das Sessões de julgamento, que prevê a expansão da transmissão ao vivo para as sessões dos plenários, foi impactada pelo atraso do piloto, ficando suspensa ao longo de 2025. Além disso, para expansão, aguarda-se a definição da Alta Administração quanto a estratégia para a expansão (data, ordem dos Plenários, etc.), razão pela qual a entrega apresenta perspectiva de conclusão em 2026. No que tange às entregas em andamento: Em 2023, o processo licitatório para a aquisição do sistema para votação administrativa foi deserto. Diante disso, deliberou-se por promover melhorias no módulo SEI Julgar para viabilizar a sua utilização pelo TJMG. Embora algumas customizações já tenham sido realizadas ao longo de 2024 e 2025, ainda restam funcionalidades a serem desenvolvidas, sem as quais não é possível realizar o projeto piloto.  A entrega ficou suspensa ao longo de 2025, tendo em vista que a equipe técnica responsável pelo desenvolvimento estava alocada em outras frentes de trabalho igualmente relevantes para instituição. Estima-se a retomada da customização do sistema para votação administrativa para 2026. Por meio de Acordo de Cooperação (AC) com o TRF-4, houve a cessão do software Tela para Gravação e Indexação das sessões do TJMG. Ele foi implantado inicialmente nos plenários 4 e 10. Atualmente, o projeto encontra-se em fase de adaptações e aprimoramento entre o Sistema TELA e o </w:t>
            </w:r>
            <w:proofErr w:type="spellStart"/>
            <w:r w:rsidRPr="0087435D">
              <w:rPr>
                <w:rFonts w:ascii="Calibri" w:hAnsi="Calibri"/>
                <w:sz w:val="20"/>
                <w:lang w:val="pt-BR"/>
              </w:rPr>
              <w:t>Eproc</w:t>
            </w:r>
            <w:proofErr w:type="spellEnd"/>
            <w:r w:rsidRPr="0087435D">
              <w:rPr>
                <w:rFonts w:ascii="Calibri" w:hAnsi="Calibri"/>
                <w:sz w:val="20"/>
                <w:lang w:val="pt-BR"/>
              </w:rPr>
              <w:t xml:space="preserve">, com previsão de início da expansão para os demais plenários entre fevereiro e março de 2026. Em relação à transcrição, o projeto-piloto da implantação da 'Solução de Transposição' da empresa </w:t>
            </w:r>
            <w:proofErr w:type="spellStart"/>
            <w:r w:rsidRPr="0087435D">
              <w:rPr>
                <w:rFonts w:ascii="Calibri" w:hAnsi="Calibri"/>
                <w:sz w:val="20"/>
                <w:lang w:val="pt-BR"/>
              </w:rPr>
              <w:t>Xértica</w:t>
            </w:r>
            <w:proofErr w:type="spellEnd"/>
            <w:r w:rsidRPr="0087435D">
              <w:rPr>
                <w:rFonts w:ascii="Calibri" w:hAnsi="Calibri"/>
                <w:sz w:val="20"/>
                <w:lang w:val="pt-BR"/>
              </w:rPr>
              <w:t xml:space="preserve"> nos plenários 4 e 10, em setembro de 2025, foi bem-sucedido. Assim sendo, o início da expansão para as demais unidades está previsto para fevereiro de 2026. O início da expansão para o Auditório está condicionado à implementação prévia de melhorias e adaptações estruturais de longo prazo no sistema TELA, conforme demanda da área de negócio. Em razão da </w:t>
            </w:r>
            <w:r w:rsidRPr="0087435D">
              <w:rPr>
                <w:rFonts w:ascii="Calibri" w:hAnsi="Calibri"/>
                <w:sz w:val="20"/>
                <w:lang w:val="pt-BR"/>
              </w:rPr>
              <w:lastRenderedPageBreak/>
              <w:t>necessidade desses ajustes técnicos, ainda não há data definida para a conclusão desta etapa, a qual será estabelecida após a entrega das adequações mencionadas. Ainda sobre a entrega software Tela para Gravação, Indexação e Transcrição das sessões, cabe ressaltar que o módulo de Gestão de Pedidos vai permitir a gestão dos pedidos de acesso à informação de gravação e transcrição das sessões de julgamento feitos pelo Desembargador demandante. Esclarece-se que essa sistemática já existe dentro do Themis, mas, tendo em vista que esse sistema será descontinuado, foi deliberada a utilização do E-</w:t>
            </w:r>
            <w:proofErr w:type="spellStart"/>
            <w:r w:rsidRPr="0087435D">
              <w:rPr>
                <w:rFonts w:ascii="Calibri" w:hAnsi="Calibri"/>
                <w:sz w:val="20"/>
                <w:lang w:val="pt-BR"/>
              </w:rPr>
              <w:t>proc</w:t>
            </w:r>
            <w:proofErr w:type="spellEnd"/>
            <w:r w:rsidRPr="0087435D">
              <w:rPr>
                <w:rFonts w:ascii="Calibri" w:hAnsi="Calibri"/>
                <w:sz w:val="20"/>
                <w:lang w:val="pt-BR"/>
              </w:rPr>
              <w:t xml:space="preserve"> para o mesmo fim.  Para tanto, serão necessários ajustes no E-</w:t>
            </w:r>
            <w:proofErr w:type="spellStart"/>
            <w:r w:rsidRPr="0087435D">
              <w:rPr>
                <w:rFonts w:ascii="Calibri" w:hAnsi="Calibri"/>
                <w:sz w:val="20"/>
                <w:lang w:val="pt-BR"/>
              </w:rPr>
              <w:t>proc</w:t>
            </w:r>
            <w:proofErr w:type="spellEnd"/>
            <w:r w:rsidRPr="0087435D">
              <w:rPr>
                <w:rFonts w:ascii="Calibri" w:hAnsi="Calibri"/>
                <w:sz w:val="20"/>
                <w:lang w:val="pt-BR"/>
              </w:rPr>
              <w:t xml:space="preserve">, visando tanto a integração com o Tela quanto o desenvolvimento/adequações de funcionalidades atinentes ao módulo de gestão de pedidos, que começarão a ser realizados após a conclusão da homologação do sistema Tela. Foi desenvolvido, pela Diretoria Executiva de Informática – DIRTEC, um </w:t>
            </w:r>
            <w:proofErr w:type="spellStart"/>
            <w:r w:rsidRPr="0087435D">
              <w:rPr>
                <w:rFonts w:ascii="Calibri" w:hAnsi="Calibri"/>
                <w:sz w:val="20"/>
                <w:lang w:val="pt-BR"/>
              </w:rPr>
              <w:t>QrCode</w:t>
            </w:r>
            <w:proofErr w:type="spellEnd"/>
            <w:r w:rsidRPr="0087435D">
              <w:rPr>
                <w:rFonts w:ascii="Calibri" w:hAnsi="Calibri"/>
                <w:sz w:val="20"/>
                <w:lang w:val="pt-BR"/>
              </w:rPr>
              <w:t xml:space="preserve"> e uma página na internet que permitirão o acompanhamento da lista de processos em julgamento, em tempo real. O </w:t>
            </w:r>
            <w:proofErr w:type="spellStart"/>
            <w:r w:rsidRPr="0087435D">
              <w:rPr>
                <w:rFonts w:ascii="Calibri" w:hAnsi="Calibri"/>
                <w:sz w:val="20"/>
                <w:lang w:val="pt-BR"/>
              </w:rPr>
              <w:t>QRCode</w:t>
            </w:r>
            <w:proofErr w:type="spellEnd"/>
            <w:r w:rsidRPr="0087435D">
              <w:rPr>
                <w:rFonts w:ascii="Calibri" w:hAnsi="Calibri"/>
                <w:sz w:val="20"/>
                <w:lang w:val="pt-BR"/>
              </w:rPr>
              <w:t xml:space="preserve"> ficará disponível próximo aos plenários, permitindo que usuários externos, via dispositivo móvel, acessem a página Sessão de Julgamento </w:t>
            </w:r>
            <w:proofErr w:type="gramStart"/>
            <w:r w:rsidRPr="0087435D">
              <w:rPr>
                <w:rFonts w:ascii="Calibri" w:hAnsi="Calibri"/>
                <w:sz w:val="20"/>
                <w:lang w:val="pt-BR"/>
              </w:rPr>
              <w:t>( https://sessao-themis.tjmg.jus.br/sessao-themis/</w:t>
            </w:r>
            <w:proofErr w:type="gramEnd"/>
            <w:r w:rsidRPr="0087435D">
              <w:rPr>
                <w:rFonts w:ascii="Calibri" w:hAnsi="Calibri"/>
                <w:sz w:val="20"/>
                <w:lang w:val="pt-BR"/>
              </w:rPr>
              <w:t xml:space="preserve"> ) e realizem consultas por data e órgão julgador (exemplo: Câmara, Núcleo de Justiça 4.0, Tribunal Pleno, etc.). Esclarece-se que a página ainda não conterá informações advindas do </w:t>
            </w:r>
            <w:proofErr w:type="spellStart"/>
            <w:r w:rsidRPr="0087435D">
              <w:rPr>
                <w:rFonts w:ascii="Calibri" w:hAnsi="Calibri"/>
                <w:sz w:val="20"/>
                <w:lang w:val="pt-BR"/>
              </w:rPr>
              <w:t>eproc</w:t>
            </w:r>
            <w:proofErr w:type="spellEnd"/>
            <w:r w:rsidRPr="0087435D">
              <w:rPr>
                <w:rFonts w:ascii="Calibri" w:hAnsi="Calibri"/>
                <w:sz w:val="20"/>
                <w:lang w:val="pt-BR"/>
              </w:rPr>
              <w:t xml:space="preserve">. No entanto, isso não inviabiliza a divulgação, pois há quantidade expressiva de sessões disponíveis para divulgação nos sistemas Themis. Em relação a disponibilização do referido QR </w:t>
            </w:r>
            <w:proofErr w:type="spellStart"/>
            <w:r w:rsidRPr="0087435D">
              <w:rPr>
                <w:rFonts w:ascii="Calibri" w:hAnsi="Calibri"/>
                <w:sz w:val="20"/>
                <w:lang w:val="pt-BR"/>
              </w:rPr>
              <w:t>code</w:t>
            </w:r>
            <w:proofErr w:type="spellEnd"/>
            <w:r w:rsidRPr="0087435D">
              <w:rPr>
                <w:rFonts w:ascii="Calibri" w:hAnsi="Calibri"/>
                <w:sz w:val="20"/>
                <w:lang w:val="pt-BR"/>
              </w:rPr>
              <w:t xml:space="preserve"> nos Plenários, há expectativa para a divulgação no decorrer do ano de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9.28</w:t>
            </w:r>
            <w:r w:rsidRPr="0087435D">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39" w:name="meta_PRESIDÊNCIA_18"/>
            <w:bookmarkEnd w:id="39"/>
            <w:r w:rsidRPr="0087435D">
              <w:rPr>
                <w:rFonts w:ascii="Calibri" w:hAnsi="Calibri"/>
                <w:b/>
                <w:sz w:val="18"/>
                <w:lang w:val="pt-BR"/>
              </w:rPr>
              <w:t>TJMG 126</w:t>
            </w:r>
            <w:r w:rsidRPr="0087435D">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78,7%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89</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126 proposta para 2025 propôs a conclusão de 100% das etapas necessárias à informatização do setor de precatórios do TJMG até 19/12/2025, conforme o escopo proposto para iniciativa estratégica 89 para o ano. Dentre as etapas,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dezembro de 2025, o desempenho na execução da meta foi de 78,7%, refletindo a conclusão de entregas relacionadas: à implementação de melhorias do Sistema de Gestão de Precatórios (SGP)”, especialmente através do desenvolvimento e implementação do “Módulo </w:t>
            </w:r>
            <w:proofErr w:type="spellStart"/>
            <w:r w:rsidRPr="0087435D">
              <w:rPr>
                <w:rFonts w:ascii="Calibri" w:hAnsi="Calibri"/>
                <w:sz w:val="20"/>
                <w:lang w:val="pt-BR"/>
              </w:rPr>
              <w:t>Superpreferência</w:t>
            </w:r>
            <w:proofErr w:type="spellEnd"/>
            <w:r w:rsidRPr="0087435D">
              <w:rPr>
                <w:rFonts w:ascii="Calibri" w:hAnsi="Calibri"/>
                <w:sz w:val="20"/>
                <w:lang w:val="pt-BR"/>
              </w:rPr>
              <w:t xml:space="preserve">”; à “integração do Ofício Precatório Eletrônico (OPE) com o </w:t>
            </w:r>
            <w:proofErr w:type="spellStart"/>
            <w:r w:rsidRPr="0087435D">
              <w:rPr>
                <w:rFonts w:ascii="Calibri" w:hAnsi="Calibri"/>
                <w:sz w:val="20"/>
                <w:lang w:val="pt-BR"/>
              </w:rPr>
              <w:t>eproc</w:t>
            </w:r>
            <w:proofErr w:type="spellEnd"/>
            <w:r w:rsidRPr="0087435D">
              <w:rPr>
                <w:rFonts w:ascii="Calibri" w:hAnsi="Calibri"/>
                <w:sz w:val="20"/>
                <w:lang w:val="pt-BR"/>
              </w:rPr>
              <w:t xml:space="preserve">” e condução de um piloto de implantação na </w:t>
            </w:r>
            <w:proofErr w:type="spellStart"/>
            <w:r w:rsidRPr="0087435D">
              <w:rPr>
                <w:rFonts w:ascii="Calibri" w:hAnsi="Calibri"/>
                <w:sz w:val="20"/>
                <w:lang w:val="pt-BR"/>
              </w:rPr>
              <w:t>Centrase</w:t>
            </w:r>
            <w:proofErr w:type="spellEnd"/>
            <w:r w:rsidRPr="0087435D">
              <w:rPr>
                <w:rFonts w:ascii="Calibri" w:hAnsi="Calibri"/>
                <w:sz w:val="20"/>
                <w:lang w:val="pt-BR"/>
              </w:rPr>
              <w:t xml:space="preserve"> Cível, que tem permitido a identificação de melhorias e o amadurecimento do OPE e de seus fluxos de tramitação; à “migração de precatórios do SEI e do SGP para o </w:t>
            </w:r>
            <w:proofErr w:type="spellStart"/>
            <w:r w:rsidRPr="0087435D">
              <w:rPr>
                <w:rFonts w:ascii="Calibri" w:hAnsi="Calibri"/>
                <w:sz w:val="20"/>
                <w:lang w:val="pt-BR"/>
              </w:rPr>
              <w:t>eproc</w:t>
            </w:r>
            <w:proofErr w:type="spellEnd"/>
            <w:r w:rsidRPr="0087435D">
              <w:rPr>
                <w:rFonts w:ascii="Calibri" w:hAnsi="Calibri"/>
                <w:sz w:val="20"/>
                <w:lang w:val="pt-BR"/>
              </w:rPr>
              <w:t xml:space="preserve"> 2G (processos 2ª instância/2º Grau)”, cuja 1ª fase foi concluída, com um valor aproximado de 40 mil processos migrados; à “digitalização dos aproximados 10 (dez) mil processos físicos”, acabando com o acervo de processos físicos de precatórios da ASPREC ainda que possa existir um remanescente  processual, que será tratado à medida de sua identificação, e, ainda; à implementação do Sistema de Emissão de Guias de Depósito (</w:t>
            </w:r>
            <w:proofErr w:type="spellStart"/>
            <w:r w:rsidRPr="0087435D">
              <w:rPr>
                <w:rFonts w:ascii="Calibri" w:hAnsi="Calibri"/>
                <w:sz w:val="20"/>
                <w:lang w:val="pt-BR"/>
              </w:rPr>
              <w:t>Depox</w:t>
            </w:r>
            <w:proofErr w:type="spellEnd"/>
            <w:r w:rsidRPr="0087435D">
              <w:rPr>
                <w:rFonts w:ascii="Calibri" w:hAnsi="Calibri"/>
                <w:sz w:val="20"/>
                <w:lang w:val="pt-BR"/>
              </w:rPr>
              <w:t>), do Banco do Brasil, para a operacionalização dos pagamentos de precatórios, que teve como piloto a comarca de Araguari, sendo depois expandido para outras 42 comarcas do estado. A meta estratégica não alcançou resultado igual a 100% em razão de um conjunto de atividades que precisaram ser replanejadas para 2026, haja vista sua dependência em relação ao amadurecimento e a expansão do OPE para outras comarcas do estado. A estratégia de expansão está em discussão e será trabalhada em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2"/>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9.30</w:t>
            </w:r>
            <w:r w:rsidRPr="0087435D">
              <w:rPr>
                <w:rFonts w:ascii="Calibri" w:hAnsi="Calibri"/>
                <w:sz w:val="18"/>
                <w:lang w:val="pt-BR"/>
              </w:rPr>
              <w:t xml:space="preserve"> - Taxa de criação do Plano Inicial de </w:t>
            </w:r>
            <w:proofErr w:type="spellStart"/>
            <w:r w:rsidRPr="0087435D">
              <w:rPr>
                <w:rFonts w:ascii="Calibri" w:hAnsi="Calibri"/>
                <w:sz w:val="18"/>
                <w:lang w:val="pt-BR"/>
              </w:rPr>
              <w:t>Descarbonização</w:t>
            </w:r>
            <w:proofErr w:type="spellEnd"/>
            <w:r w:rsidRPr="0087435D">
              <w:rPr>
                <w:rFonts w:ascii="Calibri" w:hAnsi="Calibri"/>
                <w:sz w:val="18"/>
                <w:lang w:val="pt-BR"/>
              </w:rPr>
              <w:t xml:space="preserve">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pPr>
            <w:bookmarkStart w:id="40" w:name="meta_PRESIDÊNCIA_19"/>
            <w:bookmarkEnd w:id="40"/>
            <w:r w:rsidRPr="0087435D">
              <w:rPr>
                <w:rFonts w:ascii="Calibri" w:hAnsi="Calibri"/>
                <w:b/>
                <w:sz w:val="18"/>
                <w:lang w:val="pt-BR"/>
              </w:rPr>
              <w:t>TJMG 152</w:t>
            </w:r>
            <w:r w:rsidRPr="0087435D">
              <w:rPr>
                <w:rFonts w:ascii="Calibri" w:hAnsi="Calibri"/>
                <w:sz w:val="18"/>
                <w:lang w:val="pt-BR"/>
              </w:rPr>
              <w:t xml:space="preserve"> - Elaborar, em 2025, o Plano inicial de </w:t>
            </w:r>
            <w:proofErr w:type="spellStart"/>
            <w:r w:rsidRPr="0087435D">
              <w:rPr>
                <w:rFonts w:ascii="Calibri" w:hAnsi="Calibri"/>
                <w:sz w:val="18"/>
                <w:lang w:val="pt-BR"/>
              </w:rPr>
              <w:t>descarbonização</w:t>
            </w:r>
            <w:proofErr w:type="spellEnd"/>
            <w:r w:rsidRPr="0087435D">
              <w:rPr>
                <w:rFonts w:ascii="Calibri" w:hAnsi="Calibri"/>
                <w:sz w:val="18"/>
                <w:lang w:val="pt-BR"/>
              </w:rPr>
              <w:t xml:space="preserve"> do TJMG (100% cem porcento). </w:t>
            </w:r>
            <w:r>
              <w:rPr>
                <w:rFonts w:ascii="Calibri" w:hAnsi="Calibri"/>
                <w:sz w:val="18"/>
              </w:rPr>
              <w:t>(</w:t>
            </w:r>
            <w:proofErr w:type="spellStart"/>
            <w:r>
              <w:rPr>
                <w:rFonts w:ascii="Calibri" w:hAnsi="Calibri"/>
                <w:sz w:val="18"/>
              </w:rPr>
              <w:t>após</w:t>
            </w:r>
            <w:proofErr w:type="spellEnd"/>
            <w:r>
              <w:rPr>
                <w:rFonts w:ascii="Calibri" w:hAnsi="Calibri"/>
                <w:sz w:val="18"/>
              </w:rPr>
              <w:t xml:space="preserve"> </w:t>
            </w:r>
            <w:proofErr w:type="spellStart"/>
            <w:r>
              <w:rPr>
                <w:rFonts w:ascii="Calibri" w:hAnsi="Calibri"/>
                <w:sz w:val="18"/>
              </w:rPr>
              <w:t>concepção</w:t>
            </w:r>
            <w:proofErr w:type="spellEnd"/>
            <w:r>
              <w:rPr>
                <w:rFonts w:ascii="Calibri" w:hAnsi="Calibri"/>
                <w:sz w:val="18"/>
              </w:rPr>
              <w:t xml:space="preserve"> de </w:t>
            </w:r>
            <w:proofErr w:type="spellStart"/>
            <w:r>
              <w:rPr>
                <w:rFonts w:ascii="Calibri" w:hAnsi="Calibri"/>
                <w:sz w:val="18"/>
              </w:rPr>
              <w:t>relatório</w:t>
            </w:r>
            <w:proofErr w:type="spellEnd"/>
            <w:r>
              <w:rPr>
                <w:rFonts w:ascii="Calibri" w:hAnsi="Calibri"/>
                <w:sz w:val="18"/>
              </w:rPr>
              <w:t xml:space="preserve"> de inventário).</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foi plenamente atingida com a elaboração do Plano Inicial de </w:t>
            </w:r>
            <w:proofErr w:type="spellStart"/>
            <w:r w:rsidRPr="0087435D">
              <w:rPr>
                <w:rFonts w:ascii="Calibri" w:hAnsi="Calibri"/>
                <w:sz w:val="20"/>
                <w:lang w:val="pt-BR"/>
              </w:rPr>
              <w:t>Descarbonização</w:t>
            </w:r>
            <w:proofErr w:type="spellEnd"/>
            <w:r w:rsidRPr="0087435D">
              <w:rPr>
                <w:rFonts w:ascii="Calibri" w:hAnsi="Calibri"/>
                <w:sz w:val="20"/>
                <w:lang w:val="pt-BR"/>
              </w:rPr>
              <w:t xml:space="preserve"> do TJMG (100%), o qual já avançou para a fase de implantação.</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9.31</w:t>
            </w:r>
            <w:r w:rsidRPr="0087435D">
              <w:rPr>
                <w:rFonts w:ascii="Calibri" w:hAnsi="Calibri"/>
                <w:sz w:val="18"/>
                <w:lang w:val="pt-BR"/>
              </w:rPr>
              <w:t xml:space="preserve"> - Quantidade de cursos e ações de sensibilização para a gestão socioambiental.</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1" w:name="meta_PRESIDÊNCIA_20"/>
            <w:bookmarkEnd w:id="41"/>
            <w:r w:rsidRPr="0087435D">
              <w:rPr>
                <w:rFonts w:ascii="Calibri" w:hAnsi="Calibri"/>
                <w:b/>
                <w:sz w:val="18"/>
                <w:lang w:val="pt-BR"/>
              </w:rPr>
              <w:t>TJMG 153</w:t>
            </w:r>
            <w:r w:rsidRPr="0087435D">
              <w:rPr>
                <w:rFonts w:ascii="Calibri" w:hAnsi="Calibri"/>
                <w:sz w:val="18"/>
                <w:lang w:val="pt-BR"/>
              </w:rPr>
              <w:t xml:space="preserve"> - Ofertar pelo menos 04 (quatro) turmas dos cursos voltados para a gestão socioambiental e realizar 05 (cinco) campanhas ou ações de sensibilização sobre a temática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Em 2025, a meta obteve êxito e foi </w:t>
            </w:r>
            <w:proofErr w:type="gramStart"/>
            <w:r w:rsidRPr="0087435D">
              <w:rPr>
                <w:rFonts w:ascii="Calibri" w:hAnsi="Calibri"/>
                <w:sz w:val="20"/>
                <w:lang w:val="pt-BR"/>
              </w:rPr>
              <w:t>alcançada ,</w:t>
            </w:r>
            <w:proofErr w:type="gramEnd"/>
            <w:r w:rsidRPr="0087435D">
              <w:rPr>
                <w:rFonts w:ascii="Calibri" w:hAnsi="Calibri"/>
                <w:sz w:val="20"/>
                <w:lang w:val="pt-BR"/>
              </w:rPr>
              <w:t xml:space="preserve"> com a realização dos cursos e campanhas listados a seguir: Cursos e Capacitações </w:t>
            </w:r>
          </w:p>
          <w:p w:rsidR="00760DE1" w:rsidRPr="0087435D" w:rsidRDefault="0087435D">
            <w:pPr>
              <w:spacing w:after="0"/>
              <w:jc w:val="both"/>
              <w:rPr>
                <w:lang w:val="pt-BR"/>
              </w:rPr>
            </w:pPr>
            <w:r w:rsidRPr="0087435D">
              <w:rPr>
                <w:rFonts w:ascii="Calibri" w:hAnsi="Calibri"/>
                <w:sz w:val="20"/>
                <w:lang w:val="pt-BR"/>
              </w:rPr>
              <w:t xml:space="preserve">• Introdução à Gestão Socioambiental: Oferta de 2 turmas (oferta permanente). </w:t>
            </w:r>
          </w:p>
          <w:p w:rsidR="00760DE1" w:rsidRPr="0087435D" w:rsidRDefault="0087435D">
            <w:pPr>
              <w:spacing w:after="0"/>
              <w:jc w:val="both"/>
              <w:rPr>
                <w:lang w:val="pt-BR"/>
              </w:rPr>
            </w:pPr>
            <w:r w:rsidRPr="0087435D">
              <w:rPr>
                <w:rFonts w:ascii="Calibri" w:hAnsi="Calibri"/>
                <w:sz w:val="20"/>
                <w:lang w:val="pt-BR"/>
              </w:rPr>
              <w:t xml:space="preserve">• Educação Ambiental: princípios, conceitos e metodologias: Realizado em conjunto com a SEMAD. </w:t>
            </w:r>
          </w:p>
          <w:p w:rsidR="00760DE1" w:rsidRPr="0087435D" w:rsidRDefault="0087435D">
            <w:pPr>
              <w:spacing w:after="0"/>
              <w:jc w:val="both"/>
              <w:rPr>
                <w:lang w:val="pt-BR"/>
              </w:rPr>
            </w:pPr>
            <w:r w:rsidRPr="0087435D">
              <w:rPr>
                <w:rFonts w:ascii="Calibri" w:hAnsi="Calibri"/>
                <w:sz w:val="20"/>
                <w:lang w:val="pt-BR"/>
              </w:rPr>
              <w:t xml:space="preserve">• Uso seguro e eficiente da energia: Realizado em conjunto com a Cemig. </w:t>
            </w:r>
          </w:p>
          <w:p w:rsidR="00760DE1" w:rsidRPr="0087435D" w:rsidRDefault="0087435D">
            <w:pPr>
              <w:spacing w:after="0"/>
              <w:jc w:val="both"/>
              <w:rPr>
                <w:lang w:val="pt-BR"/>
              </w:rPr>
            </w:pPr>
            <w:r w:rsidRPr="0087435D">
              <w:rPr>
                <w:rFonts w:ascii="Calibri" w:hAnsi="Calibri"/>
                <w:sz w:val="20"/>
                <w:lang w:val="pt-BR"/>
              </w:rPr>
              <w:t xml:space="preserve">• Plano de Logística Sustentável e Licitações Sustentáveis: Curso específico sobre sustentabilidade administrativa. </w:t>
            </w:r>
          </w:p>
          <w:p w:rsidR="00760DE1" w:rsidRPr="0087435D" w:rsidRDefault="0087435D">
            <w:pPr>
              <w:spacing w:after="0"/>
              <w:jc w:val="both"/>
              <w:rPr>
                <w:lang w:val="pt-BR"/>
              </w:rPr>
            </w:pPr>
            <w:r w:rsidRPr="0087435D">
              <w:rPr>
                <w:rFonts w:ascii="Calibri" w:hAnsi="Calibri"/>
                <w:sz w:val="20"/>
                <w:lang w:val="pt-BR"/>
              </w:rPr>
              <w:t xml:space="preserve">• Saúde em cena: Oferta de curso voltado à saúde. Campanhas e Ações </w:t>
            </w:r>
            <w:proofErr w:type="gramStart"/>
            <w:r w:rsidRPr="0087435D">
              <w:rPr>
                <w:rFonts w:ascii="Calibri" w:hAnsi="Calibri"/>
                <w:sz w:val="20"/>
                <w:lang w:val="pt-BR"/>
              </w:rPr>
              <w:t>de Bem-estar</w:t>
            </w:r>
            <w:proofErr w:type="gramEnd"/>
            <w:r w:rsidRPr="0087435D">
              <w:rPr>
                <w:rFonts w:ascii="Calibri" w:hAnsi="Calibri"/>
                <w:sz w:val="20"/>
                <w:lang w:val="pt-BR"/>
              </w:rPr>
              <w:t xml:space="preserve"> </w:t>
            </w:r>
          </w:p>
          <w:p w:rsidR="00760DE1" w:rsidRPr="0087435D" w:rsidRDefault="0087435D">
            <w:pPr>
              <w:spacing w:after="0"/>
              <w:jc w:val="both"/>
              <w:rPr>
                <w:lang w:val="pt-BR"/>
              </w:rPr>
            </w:pPr>
            <w:r w:rsidRPr="0087435D">
              <w:rPr>
                <w:rFonts w:ascii="Calibri" w:hAnsi="Calibri"/>
                <w:sz w:val="20"/>
                <w:lang w:val="pt-BR"/>
              </w:rPr>
              <w:t xml:space="preserve">• Campanha de Vacinação: Realização de imunização. </w:t>
            </w:r>
          </w:p>
          <w:p w:rsidR="00760DE1" w:rsidRPr="0087435D" w:rsidRDefault="0087435D">
            <w:pPr>
              <w:spacing w:after="0"/>
              <w:jc w:val="both"/>
              <w:rPr>
                <w:lang w:val="pt-BR"/>
              </w:rPr>
            </w:pPr>
            <w:r w:rsidRPr="0087435D">
              <w:rPr>
                <w:rFonts w:ascii="Calibri" w:hAnsi="Calibri"/>
                <w:sz w:val="20"/>
                <w:lang w:val="pt-BR"/>
              </w:rPr>
              <w:t>• Meses Coloridos: Planejamento e divulgação de campanhas temáticas (</w:t>
            </w:r>
            <w:proofErr w:type="spellStart"/>
            <w:r w:rsidRPr="0087435D">
              <w:rPr>
                <w:rFonts w:ascii="Calibri" w:hAnsi="Calibri"/>
                <w:sz w:val="20"/>
                <w:lang w:val="pt-BR"/>
              </w:rPr>
              <w:t>ex</w:t>
            </w:r>
            <w:proofErr w:type="spellEnd"/>
            <w:r w:rsidRPr="0087435D">
              <w:rPr>
                <w:rFonts w:ascii="Calibri" w:hAnsi="Calibri"/>
                <w:sz w:val="20"/>
                <w:lang w:val="pt-BR"/>
              </w:rPr>
              <w:t xml:space="preserve">: </w:t>
            </w:r>
            <w:proofErr w:type="gramStart"/>
            <w:r w:rsidRPr="0087435D">
              <w:rPr>
                <w:rFonts w:ascii="Calibri" w:hAnsi="Calibri"/>
                <w:sz w:val="20"/>
                <w:lang w:val="pt-BR"/>
              </w:rPr>
              <w:t>Outubro</w:t>
            </w:r>
            <w:proofErr w:type="gramEnd"/>
            <w:r w:rsidRPr="0087435D">
              <w:rPr>
                <w:rFonts w:ascii="Calibri" w:hAnsi="Calibri"/>
                <w:sz w:val="20"/>
                <w:lang w:val="pt-BR"/>
              </w:rPr>
              <w:t xml:space="preserve"> Rosa, Novembro Azul). </w:t>
            </w:r>
          </w:p>
          <w:p w:rsidR="00760DE1" w:rsidRPr="0087435D" w:rsidRDefault="0087435D">
            <w:pPr>
              <w:spacing w:after="0"/>
              <w:jc w:val="both"/>
              <w:rPr>
                <w:lang w:val="pt-BR"/>
              </w:rPr>
            </w:pPr>
            <w:r w:rsidRPr="0087435D">
              <w:rPr>
                <w:rFonts w:ascii="Calibri" w:hAnsi="Calibri"/>
                <w:sz w:val="20"/>
                <w:lang w:val="pt-BR"/>
              </w:rPr>
              <w:t xml:space="preserve">• Cuidado com a saúde e bem-estar: Ações de comunicação e conscientização. </w:t>
            </w:r>
          </w:p>
          <w:p w:rsidR="00760DE1" w:rsidRPr="0087435D" w:rsidRDefault="0087435D">
            <w:pPr>
              <w:spacing w:after="0"/>
              <w:jc w:val="both"/>
              <w:rPr>
                <w:lang w:val="pt-BR"/>
              </w:rPr>
            </w:pPr>
            <w:r w:rsidRPr="0087435D">
              <w:rPr>
                <w:rFonts w:ascii="Calibri" w:hAnsi="Calibri"/>
                <w:sz w:val="20"/>
                <w:lang w:val="pt-BR"/>
              </w:rPr>
              <w:t xml:space="preserve">• Sensibilização em sustentabilidade: Ação contínua de conscientização ambiental. </w:t>
            </w:r>
          </w:p>
          <w:p w:rsidR="00760DE1" w:rsidRPr="0087435D" w:rsidRDefault="0087435D">
            <w:pPr>
              <w:spacing w:after="0"/>
              <w:jc w:val="both"/>
              <w:rPr>
                <w:lang w:val="pt-BR"/>
              </w:rPr>
            </w:pPr>
            <w:r w:rsidRPr="0087435D">
              <w:rPr>
                <w:rFonts w:ascii="Calibri" w:hAnsi="Calibri"/>
                <w:sz w:val="20"/>
                <w:lang w:val="pt-BR"/>
              </w:rPr>
              <w:t xml:space="preserve">• Práticas de bem-estar: Oferta de Ginástica Laboral, Yoga e Meditação. </w:t>
            </w:r>
          </w:p>
          <w:p w:rsidR="00760DE1" w:rsidRPr="0087435D" w:rsidRDefault="0087435D">
            <w:pPr>
              <w:spacing w:after="0"/>
              <w:jc w:val="both"/>
              <w:rPr>
                <w:lang w:val="pt-BR"/>
              </w:rPr>
            </w:pPr>
            <w:r w:rsidRPr="0087435D">
              <w:rPr>
                <w:rFonts w:ascii="Calibri" w:hAnsi="Calibri"/>
                <w:sz w:val="20"/>
                <w:lang w:val="pt-BR"/>
              </w:rPr>
              <w:t>• Atendimentos de saúde: Oferta de assistência psicossocial e odontológica.</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3"/>
        <w:gridCol w:w="4637"/>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9.32</w:t>
            </w:r>
            <w:r w:rsidRPr="0087435D">
              <w:rPr>
                <w:rFonts w:ascii="Calibri" w:hAnsi="Calibri"/>
                <w:sz w:val="18"/>
                <w:lang w:val="pt-BR"/>
              </w:rPr>
              <w:t xml:space="preserve"> - Taxa de conjunto de dados abertos a serem disponibilizados pelo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2" w:name="meta_PRESIDÊNCIA_21"/>
            <w:bookmarkEnd w:id="42"/>
            <w:r w:rsidRPr="0087435D">
              <w:rPr>
                <w:rFonts w:ascii="Calibri" w:hAnsi="Calibri"/>
                <w:b/>
                <w:sz w:val="18"/>
                <w:lang w:val="pt-BR"/>
              </w:rPr>
              <w:t>TJMG 154</w:t>
            </w:r>
            <w:r w:rsidRPr="0087435D">
              <w:rPr>
                <w:rFonts w:ascii="Calibri" w:hAnsi="Calibri"/>
                <w:sz w:val="18"/>
                <w:lang w:val="pt-BR"/>
              </w:rPr>
              <w:t xml:space="preserve"> - Definir e preparar, até dezembro de 2025, 100% (cem por cento) dos conjuntos de dados do TJMG que serão adequados ao formato aberto, a ser disponibilizado no portal na primeira fase do projeto.</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A meta foi superada, com a definição e preparação de 100% dos conjuntos de dados do TJMG para o formato aberto. Esse trabalho, realizado em colaboração com o Centro de Informação (CEINFO), assegura a disponibilidade das informações no portal institucional conforme o cronograma da primeira fase do projeto.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10 - OTIMIZAÇÃO DA GESTÃO DE PESSOAS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5.6</w:t>
            </w:r>
            <w:r w:rsidRPr="0087435D">
              <w:rPr>
                <w:rFonts w:ascii="Calibri" w:hAnsi="Calibri"/>
                <w:sz w:val="18"/>
                <w:lang w:val="pt-BR"/>
              </w:rPr>
              <w:t xml:space="preserve"> - Número de procedimentos </w:t>
            </w:r>
            <w:proofErr w:type="spellStart"/>
            <w:r w:rsidRPr="0087435D">
              <w:rPr>
                <w:rFonts w:ascii="Calibri" w:hAnsi="Calibri"/>
                <w:sz w:val="18"/>
                <w:lang w:val="pt-BR"/>
              </w:rPr>
              <w:t>pré</w:t>
            </w:r>
            <w:proofErr w:type="spellEnd"/>
            <w:r w:rsidRPr="0087435D">
              <w:rPr>
                <w:rFonts w:ascii="Calibri" w:hAnsi="Calibri"/>
                <w:sz w:val="18"/>
                <w:lang w:val="pt-BR"/>
              </w:rPr>
              <w:t xml:space="preserve">-processuais de reconhecimento de paternidade tratados no âmbito dos Centros Judiciários de Solução de Conflitos e Cidadania no setor </w:t>
            </w:r>
            <w:proofErr w:type="spellStart"/>
            <w:r w:rsidRPr="0087435D">
              <w:rPr>
                <w:rFonts w:ascii="Calibri" w:hAnsi="Calibri"/>
                <w:sz w:val="18"/>
                <w:lang w:val="pt-BR"/>
              </w:rPr>
              <w:t>pré</w:t>
            </w:r>
            <w:proofErr w:type="spellEnd"/>
            <w:r w:rsidRPr="0087435D">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3" w:name="meta_PRESIDÊNCIA_22"/>
            <w:bookmarkEnd w:id="43"/>
            <w:r w:rsidRPr="0087435D">
              <w:rPr>
                <w:rFonts w:ascii="Calibri" w:hAnsi="Calibri"/>
                <w:b/>
                <w:sz w:val="18"/>
                <w:lang w:val="pt-BR"/>
              </w:rPr>
              <w:t>TJMG 104</w:t>
            </w:r>
            <w:r w:rsidRPr="0087435D">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78</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Em 2025, o desempenho na execução da meta foi de 68%. Entre as atividades realizadas, destacam-se: </w:t>
            </w:r>
          </w:p>
          <w:p w:rsidR="00760DE1" w:rsidRPr="0087435D" w:rsidRDefault="0087435D">
            <w:pPr>
              <w:spacing w:after="0"/>
              <w:jc w:val="both"/>
              <w:rPr>
                <w:lang w:val="pt-BR"/>
              </w:rPr>
            </w:pPr>
            <w:r w:rsidRPr="0087435D">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760DE1" w:rsidRPr="0087435D" w:rsidRDefault="0087435D">
            <w:pPr>
              <w:spacing w:after="0"/>
              <w:jc w:val="both"/>
              <w:rPr>
                <w:lang w:val="pt-BR"/>
              </w:rPr>
            </w:pPr>
            <w:r w:rsidRPr="0087435D">
              <w:rPr>
                <w:rFonts w:ascii="Calibri" w:hAnsi="Calibri"/>
                <w:sz w:val="20"/>
                <w:lang w:val="pt-BR"/>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rsidR="00760DE1" w:rsidRPr="0087435D" w:rsidRDefault="0087435D">
            <w:pPr>
              <w:spacing w:after="0"/>
              <w:jc w:val="both"/>
              <w:rPr>
                <w:lang w:val="pt-BR"/>
              </w:rPr>
            </w:pPr>
            <w:r w:rsidRPr="0087435D">
              <w:rPr>
                <w:rFonts w:ascii="Calibri" w:hAnsi="Calibri"/>
                <w:sz w:val="20"/>
                <w:lang w:val="pt-BR"/>
              </w:rPr>
              <w:t xml:space="preserve">• Realização de Pesquisa sobre Assédio e Discriminação no TJMG cujo relatório encontra-se em elaboração. O resultado inferior ao esperado deve-se à necessidade de replanejamento de etapas, justificada pela alta complexidade técnica e pela dependência de outras áreas, conforme segue: </w:t>
            </w:r>
          </w:p>
          <w:p w:rsidR="00760DE1" w:rsidRPr="0087435D" w:rsidRDefault="0087435D">
            <w:pPr>
              <w:spacing w:after="0"/>
              <w:jc w:val="both"/>
              <w:rPr>
                <w:lang w:val="pt-BR"/>
              </w:rPr>
            </w:pPr>
            <w:r w:rsidRPr="0087435D">
              <w:rPr>
                <w:rFonts w:ascii="Calibri" w:hAnsi="Calibri"/>
                <w:sz w:val="20"/>
                <w:lang w:val="pt-BR"/>
              </w:rPr>
              <w:t xml:space="preserve">• Portaria Conjunta a ser publicada, conforme dispõe o art. 3º da Resolução TJMG nº 1018/2023: Foi instituído um Grupo de Trabalho (GT) para elaborar a Política de Prevenção e Enfrentamento do Assédio Moral, Sexual e da Discriminação no âmbito do TJMG. A 1ª versão da minuta da política foi elaborada em 28/11/2025 e disponibilizada aos integrantes do grupo supramencionado, que devem enviar suas contribuições até fevereiro de 2026. A elaboração da política exigiu um prazo maior que o inicialmente previsto. Consequentemente, o prazo estabelecido para a publicação da Portaria Conjunta foi impactado e a publicação ainda não foi iniciada. </w:t>
            </w:r>
          </w:p>
          <w:p w:rsidR="00760DE1" w:rsidRPr="0087435D" w:rsidRDefault="0087435D">
            <w:pPr>
              <w:spacing w:after="0"/>
              <w:jc w:val="both"/>
              <w:rPr>
                <w:lang w:val="pt-BR"/>
              </w:rPr>
            </w:pPr>
            <w:r w:rsidRPr="0087435D">
              <w:rPr>
                <w:rFonts w:ascii="Calibri" w:hAnsi="Calibri"/>
                <w:sz w:val="20"/>
                <w:lang w:val="pt-BR"/>
              </w:rPr>
              <w:t xml:space="preserve">• Procedimento de notícia de assédio atualizado: O estudo dos mecanismos de apuração de notícias de assédio e discriminação foi concluído. Em seguida, foi iniciada a fase de estabelecimento do procedimento para verificação de notícia de assédio. No entanto, para finalizar essa atividade, também foi necessário um prazo adicional em relação ao planejamento inicial. Como resultado, o prazo de publicação foi impactado e </w:t>
            </w:r>
            <w:proofErr w:type="spellStart"/>
            <w:r w:rsidRPr="0087435D">
              <w:rPr>
                <w:rFonts w:ascii="Calibri" w:hAnsi="Calibri"/>
                <w:sz w:val="20"/>
                <w:lang w:val="pt-BR"/>
              </w:rPr>
              <w:t>esta</w:t>
            </w:r>
            <w:proofErr w:type="spellEnd"/>
            <w:r w:rsidRPr="0087435D">
              <w:rPr>
                <w:rFonts w:ascii="Calibri" w:hAnsi="Calibri"/>
                <w:sz w:val="20"/>
                <w:lang w:val="pt-BR"/>
              </w:rPr>
              <w:t xml:space="preserve"> ainda não foi iniciada. </w:t>
            </w:r>
          </w:p>
          <w:p w:rsidR="00760DE1" w:rsidRPr="0087435D" w:rsidRDefault="0087435D">
            <w:pPr>
              <w:spacing w:after="0"/>
              <w:jc w:val="both"/>
              <w:rPr>
                <w:lang w:val="pt-BR"/>
              </w:rPr>
            </w:pPr>
            <w:r w:rsidRPr="0087435D">
              <w:rPr>
                <w:rFonts w:ascii="Calibri" w:hAnsi="Calibri"/>
                <w:sz w:val="20"/>
                <w:lang w:val="pt-BR"/>
              </w:rPr>
              <w:t>• Criação da página das Comissões no site do TJMG: A proposta da página das Comissões foi entregue à COMID. Em função da priorização de outras ações, o início da criação da página foi replanejado para o primeiro semestre de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11 - MODERNIZAÇÃO DA GESTÃO ORÇAMENTÁRIA E FINANCEIRA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11.3</w:t>
            </w:r>
            <w:r w:rsidRPr="0087435D">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4" w:name="meta_PRESIDÊNCIA_23"/>
            <w:bookmarkEnd w:id="44"/>
            <w:r w:rsidRPr="0087435D">
              <w:rPr>
                <w:rFonts w:ascii="Calibri" w:hAnsi="Calibri"/>
                <w:b/>
                <w:sz w:val="18"/>
                <w:lang w:val="pt-BR"/>
              </w:rPr>
              <w:t>TJMG 69</w:t>
            </w:r>
            <w:r w:rsidRPr="0087435D">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55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Para 2025, inicialmente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Entretanto, em setembro de 2025, após deliberação da Presidência de manutenção do atual modelo de cobrança registrada, em detrimento da implantação do modelo “arrecadação”, parte das atividades relativas à entrega de “Implantação do serviço de arrecadação” foi cancelada. Além disso, houve o cancelamento de atividades da entrega “Implantação de pagamento de custas judiciais via cartão de crédito” tendo em vista que, durante os estudos, verificou-se que não seria necessário o envio de Projeto de Lei à Assembleia Legislativa de Minas Gerais para alteração da Lei 14.939/2003, que dispõe sobre as custas devidas ao Estado no âmbito da Justiça Estadual de primeiro e segundo graus. A redução do universo considerado para 2025, de 41 para 28 atividades, impactou o cálculo da meta. Tendo em vista que todas as 28 atividades foram concluídas, apurou-se, em dezembro, 100% de execução da meta, representando o seu alcance em 2025. Dentre as atividades concluídas no ano destaca-se a realização de estudo de viabilidade para pagamento de custas judiciais por meio de cartão de crédito no TJMG, que resultou na deliberação pela implantação do serviço; a elaboração de um projeto para divulgação de conceitos e termos relacionados à Gestão de Receitas no TJMG, denominado “Vitral </w:t>
            </w:r>
            <w:proofErr w:type="spellStart"/>
            <w:r w:rsidRPr="0087435D">
              <w:rPr>
                <w:rFonts w:ascii="Calibri" w:hAnsi="Calibri"/>
                <w:sz w:val="20"/>
                <w:lang w:val="pt-BR"/>
              </w:rPr>
              <w:t>Gerec</w:t>
            </w:r>
            <w:proofErr w:type="spellEnd"/>
            <w:r w:rsidRPr="0087435D">
              <w:rPr>
                <w:rFonts w:ascii="Calibri" w:hAnsi="Calibri"/>
                <w:sz w:val="20"/>
                <w:lang w:val="pt-BR"/>
              </w:rPr>
              <w:t>”, e; a assinatura do contrato de “Prorrogação Temporária do Serviço de Cobrança Registrada” com o Banco do Brasil, enquanto são realizadas as tratativas necessárias à realização de um processo licitatório para a contratação de nova instituição financeira para conduzir o serviço.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11 - MODERNIZAÇÃO DA GESTÃO ORÇAMENTÁRIA E FINANCEIRA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11.8</w:t>
            </w:r>
            <w:r w:rsidRPr="0087435D">
              <w:rPr>
                <w:rFonts w:ascii="Calibri" w:hAnsi="Calibri"/>
                <w:sz w:val="18"/>
                <w:lang w:val="pt-BR"/>
              </w:rPr>
              <w:t xml:space="preserve"> - Número de </w:t>
            </w:r>
            <w:proofErr w:type="spellStart"/>
            <w:r w:rsidRPr="0087435D">
              <w:rPr>
                <w:rFonts w:ascii="Calibri" w:hAnsi="Calibri"/>
                <w:sz w:val="18"/>
                <w:lang w:val="pt-BR"/>
              </w:rPr>
              <w:t>MVPs</w:t>
            </w:r>
            <w:proofErr w:type="spellEnd"/>
            <w:r w:rsidRPr="0087435D">
              <w:rPr>
                <w:rFonts w:ascii="Calibri" w:hAnsi="Calibri"/>
                <w:sz w:val="18"/>
                <w:lang w:val="pt-BR"/>
              </w:rPr>
              <w:t xml:space="preserve">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5" w:name="meta_PRESIDÊNCIA_24"/>
            <w:bookmarkEnd w:id="45"/>
            <w:r w:rsidRPr="0087435D">
              <w:rPr>
                <w:rFonts w:ascii="Calibri" w:hAnsi="Calibri"/>
                <w:b/>
                <w:sz w:val="18"/>
                <w:lang w:val="pt-BR"/>
              </w:rPr>
              <w:t>TJMG 136</w:t>
            </w:r>
            <w:r w:rsidRPr="0087435D">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88</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inicialmente foram definidos três módulos para serem desenvolvidos ao longo do ano, tendo seus </w:t>
            </w:r>
            <w:proofErr w:type="spellStart"/>
            <w:r w:rsidRPr="0087435D">
              <w:rPr>
                <w:rFonts w:ascii="Calibri" w:hAnsi="Calibri"/>
                <w:sz w:val="20"/>
                <w:lang w:val="pt-BR"/>
              </w:rPr>
              <w:t>MVPs</w:t>
            </w:r>
            <w:proofErr w:type="spellEnd"/>
            <w:r w:rsidRPr="0087435D">
              <w:rPr>
                <w:rFonts w:ascii="Calibri" w:hAnsi="Calibri"/>
                <w:sz w:val="20"/>
                <w:lang w:val="pt-BR"/>
              </w:rPr>
              <w:t xml:space="preserve"> estabelecidos e as integrações necessárias ao seu devido funcionamento identificadas, sendo eles. </w:t>
            </w:r>
          </w:p>
          <w:p w:rsidR="00760DE1" w:rsidRPr="0087435D" w:rsidRDefault="0087435D">
            <w:pPr>
              <w:spacing w:after="0"/>
              <w:jc w:val="both"/>
              <w:rPr>
                <w:lang w:val="pt-BR"/>
              </w:rPr>
            </w:pPr>
            <w:r w:rsidRPr="0087435D">
              <w:rPr>
                <w:rFonts w:ascii="Calibri" w:hAnsi="Calibri"/>
                <w:sz w:val="20"/>
                <w:lang w:val="pt-BR"/>
              </w:rPr>
              <w:t xml:space="preserve">•O módulo de “Gestão de Receitas”: cujo mínimo produto viável (MVP) definido inicialmente correspondia a implantação do serviço de arrecadação no TJMG até o mês de novembro, em substituição ao atual modelo de cobrança registrada, em operação junto ao Banco do Brasil. </w:t>
            </w:r>
          </w:p>
          <w:p w:rsidR="00760DE1" w:rsidRPr="0087435D" w:rsidRDefault="0087435D">
            <w:pPr>
              <w:spacing w:after="0"/>
              <w:jc w:val="both"/>
              <w:rPr>
                <w:lang w:val="pt-BR"/>
              </w:rPr>
            </w:pPr>
            <w:r w:rsidRPr="0087435D">
              <w:rPr>
                <w:rFonts w:ascii="Calibri" w:hAnsi="Calibri"/>
                <w:sz w:val="20"/>
                <w:lang w:val="pt-BR"/>
              </w:rPr>
              <w:t xml:space="preserve">•O módulo “Orçamentário”: que abarca um conjunto de parametrizações e cadastros iniciais do sistema como MVP; </w:t>
            </w:r>
          </w:p>
          <w:p w:rsidR="00760DE1" w:rsidRPr="0087435D" w:rsidRDefault="0087435D">
            <w:pPr>
              <w:spacing w:after="0"/>
              <w:jc w:val="both"/>
              <w:rPr>
                <w:lang w:val="pt-BR"/>
              </w:rPr>
            </w:pPr>
            <w:r w:rsidRPr="0087435D">
              <w:rPr>
                <w:rFonts w:ascii="Calibri" w:hAnsi="Calibri"/>
                <w:sz w:val="20"/>
                <w:lang w:val="pt-BR"/>
              </w:rPr>
              <w:t>•O módulo “Adiantamento Financeiro”: tem como MVP o processamento e gestão do adiantamento financeiro da instituição. Como meta de 2025, estabeleceu-</w:t>
            </w:r>
            <w:proofErr w:type="gramStart"/>
            <w:r w:rsidRPr="0087435D">
              <w:rPr>
                <w:rFonts w:ascii="Calibri" w:hAnsi="Calibri"/>
                <w:sz w:val="20"/>
                <w:lang w:val="pt-BR"/>
              </w:rPr>
              <w:t>se  que</w:t>
            </w:r>
            <w:proofErr w:type="gramEnd"/>
            <w:r w:rsidRPr="0087435D">
              <w:rPr>
                <w:rFonts w:ascii="Calibri" w:hAnsi="Calibri"/>
                <w:sz w:val="20"/>
                <w:lang w:val="pt-BR"/>
              </w:rPr>
              <w:t xml:space="preserve"> pelo menos um desses  </w:t>
            </w:r>
            <w:proofErr w:type="spellStart"/>
            <w:r w:rsidRPr="0087435D">
              <w:rPr>
                <w:rFonts w:ascii="Calibri" w:hAnsi="Calibri"/>
                <w:sz w:val="20"/>
                <w:lang w:val="pt-BR"/>
              </w:rPr>
              <w:t>MVPs</w:t>
            </w:r>
            <w:proofErr w:type="spellEnd"/>
            <w:r w:rsidRPr="0087435D">
              <w:rPr>
                <w:rFonts w:ascii="Calibri" w:hAnsi="Calibri"/>
                <w:sz w:val="20"/>
                <w:lang w:val="pt-BR"/>
              </w:rPr>
              <w:t xml:space="preserve"> fosse colocado “em produção”. Em outras palavras, o TJMG sinalizou sua expectativa de conseguir operar pelo menos uma funcionalidade/ um processo de trabalho através do sistema ainda em 2025. Apesar do avanço conseguido no desenvolvimento dos módulos, nenhum deles foi colocado em produção em 2025, de forma que a meta proposta para o ano não foi alcançada. Em relação ao Módulo Gestão de Receitas, vale destacar que sua priorização decorreu da proximidade do término do contrato com o Banco do Brasil, responsável por operacionalizar o “modelo de cobrança registrada” no TJMG, com prazo de vigência até novembro de 2025. Nesse sentido, as atividades de 2025 foram pensadas para que a substituição do modelo fosse concluída até outubro de 2025. Em setembro, entretanto, por determinação da Presidência do TJMG, a estratégia de substituição do modelo de cobrança registrada pelo modelo de arrecadação foi interrompida, tendo em vista a evidência de impactos técnicos substanciais no sistema de emissão de guias (Guias Web) e no desenvolvimento do Módulo de Custas </w:t>
            </w:r>
            <w:proofErr w:type="spellStart"/>
            <w:r w:rsidRPr="0087435D">
              <w:rPr>
                <w:rFonts w:ascii="Calibri" w:hAnsi="Calibri"/>
                <w:sz w:val="20"/>
                <w:lang w:val="pt-BR"/>
              </w:rPr>
              <w:t>eproc</w:t>
            </w:r>
            <w:proofErr w:type="spellEnd"/>
            <w:r w:rsidRPr="0087435D">
              <w:rPr>
                <w:rFonts w:ascii="Calibri" w:hAnsi="Calibri"/>
                <w:sz w:val="20"/>
                <w:lang w:val="pt-BR"/>
              </w:rPr>
              <w:t>, que inviabilizariam a substituição do modelo atual. Dito isso, os desenvolvimentos relativos ao Módulo de Gestão de Receitas foram temporariamente suspensos entre outubro e dezembro de 2025, em favor da definição das funcionalidades mínimas que permitam a operacionalização da Cobrança Registrada através do GFO e da avaliação dos impactos da mudança sobre o serviço de Transação Bancária e o sistema de Guias Web. Destaca-se que a mudança da estratégia não implicou no refugo ao que já havia sido desenvolvido até então, mas na sua adequação. Já o Módulo Orçamentário foi pensado para dar base ao sistema, preparando-o para o desenvolvimento dos demais módulos, razão pela qual priorizou a parametrização das informações mínimas e necessárias ao funcionamento da gestão financeira e orçamentária do TJMG. Seu desenvolvimento está em andamento e com previsão de conclusão inicial para o primeiro semestre de 2026.  Paralelamente ao desenvolvimento, foi trabalhada a integração do sistema com o SIAFI, o Sistema Integrado de Administração Financeira do Estado de Minas Gerais, através da importação de dados cadastrais referentes às tabelas de despesas e receitas, até que haja a implantação do GRP Minas, o Sistema Integrado de Gestão Governamental de Minas Gerais. Por sua vez, o Módulo de Adiantamento Financeiro está em andamento, com previsão de conclusão dos desenvolvimentos e homologação até março de 2026. Há expectativa de que o módulo seja colocado em produção, isto é, disponibilizado para uso do TJMG, ao longo do ano de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11 - MODERNIZAÇÃO DA GESTÃO ORÇAMENTÁRIA E FINANCEIRA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11.2</w:t>
            </w:r>
            <w:r w:rsidRPr="0087435D">
              <w:rPr>
                <w:rFonts w:ascii="Calibri" w:hAnsi="Calibri"/>
                <w:sz w:val="18"/>
                <w:lang w:val="pt-BR"/>
              </w:rPr>
              <w:t xml:space="preserve"> - Taxa de cumprimento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6" w:name="meta_PRESIDÊNCIA_25"/>
            <w:bookmarkEnd w:id="46"/>
            <w:r w:rsidRPr="0087435D">
              <w:rPr>
                <w:rFonts w:ascii="Calibri" w:hAnsi="Calibri"/>
                <w:b/>
                <w:sz w:val="18"/>
                <w:lang w:val="pt-BR"/>
              </w:rPr>
              <w:t>TJMG 137</w:t>
            </w:r>
            <w:r w:rsidRPr="0087435D">
              <w:rPr>
                <w:rFonts w:ascii="Calibri" w:hAnsi="Calibri"/>
                <w:sz w:val="18"/>
                <w:lang w:val="pt-BR"/>
              </w:rPr>
              <w:t xml:space="preserve"> - Concluir, até 19/12/2025, 40% do projeto de implantação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28,54%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57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O projeto de “Implantação do Sistema de Gestão Financeira dos Depósitos Judiciais – SIDEJUD” tem por objetivo acompanhar as atividades de desenvolvimento e implantação do sistema, que permitirá a gestão centralizada dos depósitos judiciais, considerando as etapas de entrada, processamento e saída, minimizando a atual dependência em relação a instituições financeiras contratadas. Diante disso, o sistema foi estruturado em torno de três módulos principais (Depósitos Judiciais, Precatórios e Lei 151/2015), todos eles vinculados aos pacotes complementares (Adesão à PDPJ, Migração do Legado, Homologação Integrada, Ferramenta de Segurança, Relatórios Gerenciais e outros). Para 2025, a meta previu concluir pelo menos 40% do projeto, com destaque para atividades relativas ao desenvolvimento do principal módulo do sistema, “Depósitos Judiciais”. Apesar disso, até dezembro, o 28,54% do projeto foi concluído, de forma que a meta não foi alcançada. Embora o SIDEJUD esteja sendo desenvolvido por partes, somente será implementado após o desenvolvimento do todo e da homologação numa perspectiva integrada. Entende-se como inviável a disponibilização parcial de seus módulos. Dentre as principais funcionalidades previstas para o módulo “Depósitos Judiciais”, destaca-se a emissão de guias para pagamento de depósito judicial via PIX e via guia de arrecadação. Em uma perspectiva mais sistêmica, destaca-se a integração entre o SIDEJUD e o SISBAJUD, sistema do CNJ que permite aos juízes solicitar informações e bloquear bens de devedores, como valores em contas bancárias, investimentos e aplicações financeiras, diretamente nas instituições financeiras do país. Além disso, ressalta-se que o SIDEJUD será integrado à Plataforma Digital do Poder Judiciário Brasileiro – PDPJ-</w:t>
            </w:r>
            <w:proofErr w:type="spellStart"/>
            <w:r w:rsidRPr="0087435D">
              <w:rPr>
                <w:rFonts w:ascii="Calibri" w:hAnsi="Calibri"/>
                <w:sz w:val="20"/>
                <w:lang w:val="pt-BR"/>
              </w:rPr>
              <w:t>Br</w:t>
            </w:r>
            <w:proofErr w:type="spellEnd"/>
            <w:r w:rsidRPr="0087435D">
              <w:rPr>
                <w:rFonts w:ascii="Calibri" w:hAnsi="Calibri"/>
                <w:sz w:val="20"/>
                <w:lang w:val="pt-BR"/>
              </w:rPr>
              <w:t>, e poderá ser utilizado por outros Tribunais.</w:t>
            </w:r>
          </w:p>
        </w:tc>
      </w:tr>
    </w:tbl>
    <w:p w:rsidR="00760DE1" w:rsidRPr="0087435D" w:rsidRDefault="00760DE1">
      <w:pPr>
        <w:rPr>
          <w:lang w:val="pt-BR"/>
        </w:rPr>
        <w:sectPr w:rsidR="00760DE1" w:rsidRPr="0087435D">
          <w:headerReference w:type="default" r:id="rId19"/>
          <w:footerReference w:type="default" r:id="rId20"/>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3.7</w:t>
            </w:r>
            <w:r w:rsidRPr="0087435D">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7" w:name="meta_1ª_VICE_PRESIDÊNCIA_0"/>
            <w:bookmarkEnd w:id="47"/>
            <w:r w:rsidRPr="0087435D">
              <w:rPr>
                <w:rFonts w:ascii="Calibri" w:hAnsi="Calibri"/>
                <w:b/>
                <w:sz w:val="18"/>
                <w:lang w:val="pt-BR"/>
              </w:rPr>
              <w:t>TJMG 5</w:t>
            </w:r>
            <w:r w:rsidRPr="0087435D">
              <w:rPr>
                <w:rFonts w:ascii="Calibri" w:hAnsi="Calibri"/>
                <w:sz w:val="18"/>
                <w:lang w:val="pt-BR"/>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Meta TJMG 5 (Julgamentos Monocráticos). Até dezembro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 e limitações de julgamento. Para garantir o controle dos números e o cumprimento das metas, a 1ª vice-presidência disponibiliza recursos essenciais, como: painéis Táticos para visualização em tempo real do acervo e produtividade, ferramentas </w:t>
            </w:r>
            <w:proofErr w:type="spellStart"/>
            <w:r w:rsidRPr="0087435D">
              <w:rPr>
                <w:rFonts w:ascii="Calibri" w:hAnsi="Calibri"/>
                <w:sz w:val="20"/>
                <w:lang w:val="pt-BR"/>
              </w:rPr>
              <w:t>Push</w:t>
            </w:r>
            <w:proofErr w:type="spellEnd"/>
            <w:r w:rsidRPr="0087435D">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51"/>
        <w:gridCol w:w="4658"/>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3.8</w:t>
            </w:r>
            <w:r w:rsidRPr="0087435D">
              <w:rPr>
                <w:rFonts w:ascii="Calibri" w:hAnsi="Calibri"/>
                <w:sz w:val="18"/>
                <w:lang w:val="pt-BR"/>
              </w:rPr>
              <w:t xml:space="preserve"> - Taxa de julgamentos colegiados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8" w:name="meta_1ª_VICE_PRESIDÊNCIA_1"/>
            <w:bookmarkEnd w:id="48"/>
            <w:r w:rsidRPr="0087435D">
              <w:rPr>
                <w:rFonts w:ascii="Calibri" w:hAnsi="Calibri"/>
                <w:b/>
                <w:sz w:val="18"/>
                <w:lang w:val="pt-BR"/>
              </w:rPr>
              <w:t>TJMG 6</w:t>
            </w:r>
            <w:r w:rsidRPr="0087435D">
              <w:rPr>
                <w:rFonts w:ascii="Calibri" w:hAnsi="Calibri"/>
                <w:sz w:val="18"/>
                <w:lang w:val="pt-BR"/>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de realizar 70% dos julgamentos colegiados em até 100 dias não foi cumprida. O resultado médio até novembro de 2025, é de 67%. Segundo o Centro de Resultados da prestação jurisdicional na 2ª Instância (CEINJUR), o desempenho abaixo do esperado da referida meta pode ser atribuído a fatores como o aumento no volume de processos e variações de produtividade causadas por férias e recessos e limitações de pautas de julgamento. Para garantir o controle dos números e o cumprimento das metas, a 1ºª vice-presidência disponibiliza recursos essenciais, como: painéis Táticos para visualização em tempo real do acervo e produtividade, ferramentas </w:t>
            </w:r>
            <w:proofErr w:type="spellStart"/>
            <w:r w:rsidRPr="0087435D">
              <w:rPr>
                <w:rFonts w:ascii="Calibri" w:hAnsi="Calibri"/>
                <w:sz w:val="20"/>
                <w:lang w:val="pt-BR"/>
              </w:rPr>
              <w:t>Push</w:t>
            </w:r>
            <w:proofErr w:type="spellEnd"/>
            <w:r w:rsidRPr="0087435D">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3.9</w:t>
            </w:r>
            <w:r w:rsidRPr="0087435D">
              <w:rPr>
                <w:rFonts w:ascii="Calibri" w:hAnsi="Calibri"/>
                <w:sz w:val="18"/>
                <w:lang w:val="pt-BR"/>
              </w:rPr>
              <w:t xml:space="preserve"> - Índice de acórdãos publicados em até 10 (dez)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49" w:name="meta_1ª_VICE_PRESIDÊNCIA_2"/>
            <w:bookmarkEnd w:id="49"/>
            <w:r w:rsidRPr="0087435D">
              <w:rPr>
                <w:rFonts w:ascii="Calibri" w:hAnsi="Calibri"/>
                <w:b/>
                <w:sz w:val="18"/>
                <w:lang w:val="pt-BR"/>
              </w:rPr>
              <w:t>TJMG 7</w:t>
            </w:r>
            <w:r w:rsidRPr="0087435D">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93,66%</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7, que exige a publicação de 95% dos acórdãos em até 10 dias após o julgamento, o valor médio alcançado foi de 93,66% no ano de 2025. Embora o percentual exigido não tenha sido alcançado, para garantir o controle dos números e o cumprimento das metas, a 1ºª vice-presidência disponibiliza recursos essenciais, como: painéis Táticos para visualização em tempo real do acervo e produtividade, ferramentas </w:t>
            </w:r>
            <w:proofErr w:type="spellStart"/>
            <w:r w:rsidRPr="0087435D">
              <w:rPr>
                <w:rFonts w:ascii="Calibri" w:hAnsi="Calibri"/>
                <w:sz w:val="20"/>
                <w:lang w:val="pt-BR"/>
              </w:rPr>
              <w:t>Push</w:t>
            </w:r>
            <w:proofErr w:type="spellEnd"/>
            <w:r w:rsidRPr="0087435D">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3.51</w:t>
            </w:r>
            <w:r w:rsidRPr="0087435D">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0" w:name="meta_1ª_VICE_PRESIDÊNCIA_3"/>
            <w:bookmarkEnd w:id="50"/>
            <w:r w:rsidRPr="0087435D">
              <w:rPr>
                <w:rFonts w:ascii="Calibri" w:hAnsi="Calibri"/>
                <w:b/>
                <w:sz w:val="18"/>
                <w:lang w:val="pt-BR"/>
              </w:rPr>
              <w:t>TJMG 91</w:t>
            </w:r>
            <w:r w:rsidRPr="0087435D">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Sobre a Meta TJMG 91 - Movimentar 95% (noventa e cinco por cento) do acervo processual em prazo inferior a 60 (sessenta) dias, o resultado apurado médio é de 103% até dezembro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3.52</w:t>
            </w:r>
            <w:r w:rsidRPr="0087435D">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1" w:name="meta_1ª_VICE_PRESIDÊNCIA_4"/>
            <w:bookmarkEnd w:id="51"/>
            <w:r w:rsidRPr="0087435D">
              <w:rPr>
                <w:rFonts w:ascii="Calibri" w:hAnsi="Calibri"/>
                <w:b/>
                <w:sz w:val="18"/>
                <w:lang w:val="pt-BR"/>
              </w:rPr>
              <w:t>TJMG 115</w:t>
            </w:r>
            <w:r w:rsidRPr="0087435D">
              <w:rPr>
                <w:rFonts w:ascii="Calibri" w:hAnsi="Calibri"/>
                <w:sz w:val="18"/>
                <w:lang w:val="pt-BR"/>
              </w:rPr>
              <w:t xml:space="preserve"> - Devolver para o respectivo Cartório 95% (noventa e cinco por cento) dos processos conclusos no prazo de até 90 (noventa) dias, contado da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Em relação à Meta TJMG 115 -   Devolver para o respectivo Cartório 95% (noventa e cinco por cento) dos processos conclusos no prazo de até 90 (noventa) dias, contado da data da conclusão, o resultado médio apurado até dezembro de 2025 é de 94%. O resultado muito próximo da meta é devido ao desempenho da Secretaria Judiciária na gestão dos prazos, atuando de forma proativa para estimular a devolução célere dos processos conclusos e orientar gabinetes e cartórios quanto á melhores práticas.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3.59</w:t>
            </w:r>
            <w:r w:rsidRPr="0087435D">
              <w:rPr>
                <w:rFonts w:ascii="Calibri" w:hAnsi="Calibri"/>
                <w:sz w:val="18"/>
                <w:lang w:val="pt-BR"/>
              </w:rPr>
              <w:t xml:space="preserve"> - Taxa de cumprimento das atividades previstas no Programa 1ª </w:t>
            </w:r>
            <w:proofErr w:type="spellStart"/>
            <w:r w:rsidRPr="0087435D">
              <w:rPr>
                <w:rFonts w:ascii="Calibri" w:hAnsi="Calibri"/>
                <w:sz w:val="18"/>
                <w:lang w:val="pt-BR"/>
              </w:rPr>
              <w:t>Vice-Soma</w:t>
            </w:r>
            <w:proofErr w:type="spellEnd"/>
            <w:r w:rsidRPr="0087435D">
              <w:rPr>
                <w:rFonts w:ascii="Calibri" w:hAnsi="Calibri"/>
                <w:sz w:val="18"/>
                <w:lang w:val="pt-BR"/>
              </w:rPr>
              <w:t xml:space="preserve">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2" w:name="meta_1ª_VICE_PRESIDÊNCIA_5"/>
            <w:bookmarkEnd w:id="52"/>
            <w:r w:rsidRPr="0087435D">
              <w:rPr>
                <w:rFonts w:ascii="Calibri" w:hAnsi="Calibri"/>
                <w:b/>
                <w:sz w:val="18"/>
                <w:lang w:val="pt-BR"/>
              </w:rPr>
              <w:t>TJMG 132</w:t>
            </w:r>
            <w:r w:rsidRPr="0087435D">
              <w:rPr>
                <w:rFonts w:ascii="Calibri" w:hAnsi="Calibri"/>
                <w:sz w:val="18"/>
                <w:lang w:val="pt-BR"/>
              </w:rPr>
              <w:t xml:space="preserve"> - Executar, em 2025, 100% (cem por cento) das atividades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95%</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Sobre a meta TJMG 132– Executar, em 2025, 100% (cem por cento) das atividades previstas no Programa 1ª Vice Soma – Suporte à Organização, cumprimento de metas e aperfeiçoamento gerencial, obtém -se o resultado apurado de 95% de conclusão das atividades previstas até 11/12/2025. Compondo essa meta, pode-se observar que das 19 (dezenove) entregas planejadas, 17 (dezessete) foram concluídas e 2 (duas) seguem em andamento. Foram ofertadas 14 (quatorze) turmas na Ação Formativa da 1ª Vice Soma, distribuíram-se ao </w:t>
            </w:r>
            <w:r w:rsidRPr="0087435D">
              <w:rPr>
                <w:rFonts w:ascii="Calibri" w:hAnsi="Calibri"/>
                <w:sz w:val="20"/>
                <w:lang w:val="pt-BR"/>
              </w:rPr>
              <w:lastRenderedPageBreak/>
              <w:t xml:space="preserve">gabinete dos desembargadores O Guia de suporte à Organização, Cumprimento de Metas e Aperfeiçoamento Gerencial e por fim ocorreu o Desenvolvimento do Banco Institucional de Boas Práticas, o qual ficará no âmbito da 1ª vice-presidência. As entregas Encontro Linguagem Simples no TJMG e 2ª Fase Soma: Integração Gabinetes e Cartório foram replanejadas para 2026. A entrega “2a Fase Soma: Integração Gabinetes e Cartório” foi incluída no escopo da iniciativa. No âmbito dessa entrega, foi mapeado o fluxo processual atual do Agravo de Instrumento. A equipe técnica do CESUPE está desenvolvendo as automações e preferências possíveis no sistema </w:t>
            </w:r>
            <w:proofErr w:type="spellStart"/>
            <w:r w:rsidRPr="0087435D">
              <w:rPr>
                <w:rFonts w:ascii="Calibri" w:hAnsi="Calibri"/>
                <w:sz w:val="20"/>
                <w:lang w:val="pt-BR"/>
              </w:rPr>
              <w:t>eproc</w:t>
            </w:r>
            <w:proofErr w:type="spellEnd"/>
            <w:r w:rsidRPr="0087435D">
              <w:rPr>
                <w:rFonts w:ascii="Calibri" w:hAnsi="Calibri"/>
                <w:sz w:val="20"/>
                <w:lang w:val="pt-BR"/>
              </w:rPr>
              <w:t>, com o objetivo de otimizar o trabalho das câmaras judiciais. A implementação dessas melhorias foi iniciada nos gabinetes da 11ª Câmara Cível e segue sendo acompanhada.</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6 - CONSOLIDAÇÃO DO SISTEMA DE PRECEDENTES OBRIGATÓRIOS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6.1</w:t>
            </w:r>
            <w:r w:rsidRPr="0087435D">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3" w:name="meta_1ª_VICE_PRESIDÊNCIA_6"/>
            <w:bookmarkEnd w:id="53"/>
            <w:r w:rsidRPr="0087435D">
              <w:rPr>
                <w:rFonts w:ascii="Calibri" w:hAnsi="Calibri"/>
                <w:b/>
                <w:sz w:val="18"/>
                <w:lang w:val="pt-BR"/>
              </w:rPr>
              <w:t>TJMG 29</w:t>
            </w:r>
            <w:r w:rsidRPr="0087435D">
              <w:rPr>
                <w:rFonts w:ascii="Calibri" w:hAnsi="Calibri"/>
                <w:sz w:val="18"/>
                <w:lang w:val="pt-BR"/>
              </w:rPr>
              <w:t xml:space="preserve"> - Julgar, em 2025, em até 100 (cem) dias, 80% (oitenta por cento) dos processos vinculados em razão de repercussão geral e repetitividade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73%</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Sobre a Meta TJMG 29, o resultado médio apurado até dezembro de 2025 é de 73%.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6.5</w:t>
            </w:r>
            <w:r w:rsidRPr="0087435D">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4" w:name="meta_1ª_VICE_PRESIDÊNCIA_7"/>
            <w:bookmarkEnd w:id="54"/>
            <w:r w:rsidRPr="0087435D">
              <w:rPr>
                <w:rFonts w:ascii="Calibri" w:hAnsi="Calibri"/>
                <w:b/>
                <w:sz w:val="18"/>
                <w:lang w:val="pt-BR"/>
              </w:rPr>
              <w:t>TJMG 59</w:t>
            </w:r>
            <w:r w:rsidRPr="0087435D">
              <w:rPr>
                <w:rFonts w:ascii="Calibri" w:hAnsi="Calibri"/>
                <w:sz w:val="18"/>
                <w:lang w:val="pt-BR"/>
              </w:rPr>
              <w:t xml:space="preserve"> - Julgar,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Quanto à Meta TJMG 59 - Julgar até 31/12/2025, 85% das ações coletivas distribuídas até 31/12/2023 no 2º Grau, o valor médio apurado até dezembro de </w:t>
            </w:r>
            <w:proofErr w:type="gramStart"/>
            <w:r w:rsidRPr="0087435D">
              <w:rPr>
                <w:rFonts w:ascii="Calibri" w:hAnsi="Calibri"/>
                <w:sz w:val="20"/>
                <w:lang w:val="pt-BR"/>
              </w:rPr>
              <w:t>2025  foi</w:t>
            </w:r>
            <w:proofErr w:type="gramEnd"/>
            <w:r w:rsidRPr="0087435D">
              <w:rPr>
                <w:rFonts w:ascii="Calibri" w:hAnsi="Calibri"/>
                <w:sz w:val="20"/>
                <w:lang w:val="pt-BR"/>
              </w:rPr>
              <w:t xml:space="preserve"> de 90%, o que demonstra o cumprimento da meta no período.</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6.6</w:t>
            </w:r>
            <w:r w:rsidRPr="0087435D">
              <w:rPr>
                <w:rFonts w:ascii="Calibri" w:hAnsi="Calibri"/>
                <w:sz w:val="18"/>
                <w:lang w:val="pt-BR"/>
              </w:rPr>
              <w:t xml:space="preserve">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5" w:name="meta_1ª_VICE_PRESIDÊNCIA_8"/>
            <w:bookmarkEnd w:id="55"/>
            <w:r w:rsidRPr="0087435D">
              <w:rPr>
                <w:rFonts w:ascii="Calibri" w:hAnsi="Calibri"/>
                <w:b/>
                <w:sz w:val="18"/>
                <w:lang w:val="pt-BR"/>
              </w:rPr>
              <w:t>TJMG 134</w:t>
            </w:r>
            <w:r w:rsidRPr="0087435D">
              <w:rPr>
                <w:rFonts w:ascii="Calibri" w:hAnsi="Calibri"/>
                <w:sz w:val="18"/>
                <w:lang w:val="pt-BR"/>
              </w:rPr>
              <w:t xml:space="preserve"> - Julgar, em 2025, 60% (sessenta por cento) dos </w:t>
            </w:r>
            <w:proofErr w:type="spellStart"/>
            <w:r w:rsidRPr="0087435D">
              <w:rPr>
                <w:rFonts w:ascii="Calibri" w:hAnsi="Calibri"/>
                <w:sz w:val="18"/>
                <w:lang w:val="pt-BR"/>
              </w:rPr>
              <w:t>IRDRs</w:t>
            </w:r>
            <w:proofErr w:type="spellEnd"/>
            <w:r w:rsidRPr="0087435D">
              <w:rPr>
                <w:rFonts w:ascii="Calibri" w:hAnsi="Calibri"/>
                <w:sz w:val="18"/>
                <w:lang w:val="pt-BR"/>
              </w:rPr>
              <w:t>/IACS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O resultado apurado corresponde a 0%. Embora tenham ocorrido julgamentos de mérito em todos os meses do ano, exceto em março, todos os processos foram concluídos após o prazo estipulado de 320 dias.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6 - CONSOLIDAÇÃO DO SISTEMA DE PRECEDENTES OBRIGATÓRIOS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6.7</w:t>
            </w:r>
            <w:r w:rsidRPr="0087435D">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6" w:name="meta_1ª_VICE_PRESIDÊNCIA_9"/>
            <w:bookmarkEnd w:id="56"/>
            <w:r w:rsidRPr="0087435D">
              <w:rPr>
                <w:rFonts w:ascii="Calibri" w:hAnsi="Calibri"/>
                <w:b/>
                <w:sz w:val="18"/>
                <w:lang w:val="pt-BR"/>
              </w:rPr>
              <w:t>TJMG 135</w:t>
            </w:r>
            <w:r w:rsidRPr="0087435D">
              <w:rPr>
                <w:rFonts w:ascii="Calibri" w:hAnsi="Calibri"/>
                <w:sz w:val="18"/>
                <w:lang w:val="pt-BR"/>
              </w:rPr>
              <w:t xml:space="preserve"> - Exercer, em 2025, o juízo de admissibilidade em 100% (cem por cento) dos processos relacionados a </w:t>
            </w:r>
            <w:proofErr w:type="spellStart"/>
            <w:r w:rsidRPr="0087435D">
              <w:rPr>
                <w:rFonts w:ascii="Calibri" w:hAnsi="Calibri"/>
                <w:sz w:val="18"/>
                <w:lang w:val="pt-BR"/>
              </w:rPr>
              <w:t>IRDRs</w:t>
            </w:r>
            <w:proofErr w:type="spellEnd"/>
            <w:r w:rsidRPr="0087435D">
              <w:rPr>
                <w:rFonts w:ascii="Calibri" w:hAnsi="Calibri"/>
                <w:sz w:val="18"/>
                <w:lang w:val="pt-BR"/>
              </w:rPr>
              <w:t>/</w:t>
            </w:r>
            <w:proofErr w:type="spellStart"/>
            <w:r w:rsidRPr="0087435D">
              <w:rPr>
                <w:rFonts w:ascii="Calibri" w:hAnsi="Calibri"/>
                <w:sz w:val="18"/>
                <w:lang w:val="pt-BR"/>
              </w:rPr>
              <w:t>IACs</w:t>
            </w:r>
            <w:proofErr w:type="spellEnd"/>
            <w:r w:rsidRPr="0087435D">
              <w:rPr>
                <w:rFonts w:ascii="Calibri" w:hAnsi="Calibri"/>
                <w:sz w:val="18"/>
                <w:lang w:val="pt-BR"/>
              </w:rPr>
              <w:t xml:space="preserve"> em até 150 (cento e cinquenta) dias após a distribuição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04</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O resultado apurado corresponde a 0%. Ocorreram julgamentos de mérito em todos os meses do ano, com exceção de abril e agosto, no entanto, todos após o prazo de 150 dias.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9.22</w:t>
            </w:r>
            <w:r w:rsidRPr="0087435D">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7" w:name="meta_1ª_VICE_PRESIDÊNCIA_10"/>
            <w:bookmarkEnd w:id="57"/>
            <w:r w:rsidRPr="0087435D">
              <w:rPr>
                <w:rFonts w:ascii="Calibri" w:hAnsi="Calibri"/>
                <w:b/>
                <w:sz w:val="18"/>
                <w:lang w:val="pt-BR"/>
              </w:rPr>
              <w:t>TJMG 95</w:t>
            </w:r>
            <w:r w:rsidRPr="0087435D">
              <w:rPr>
                <w:rFonts w:ascii="Calibri" w:hAnsi="Calibri"/>
                <w:sz w:val="18"/>
                <w:lang w:val="pt-BR"/>
              </w:rPr>
              <w:t xml:space="preserve"> - Executar, no ano de 2025, 100% (cem por cento) das atividades previstas no projeto de Aprimoramento da Gestão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50%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72</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iniciativa teve uma ampliação significativa de seu escopo original e consequentemente das atividades necessárias. Devido a isso, há várias atividades ainda em andamento ou não iniciadas. Em 26 de junho de 2025, foi concluída a revisão parcial envolvendo a atualização emergencial dos artigos 4a, 4b 12 e 14 para adequação do módulo de Oficiais de Justiça. Também foi concluída a criação de painel </w:t>
            </w:r>
            <w:proofErr w:type="spellStart"/>
            <w:r w:rsidRPr="0087435D">
              <w:rPr>
                <w:rFonts w:ascii="Calibri" w:hAnsi="Calibri"/>
                <w:sz w:val="20"/>
                <w:lang w:val="pt-BR"/>
              </w:rPr>
              <w:t>Qlik</w:t>
            </w:r>
            <w:proofErr w:type="spellEnd"/>
            <w:r w:rsidRPr="0087435D">
              <w:rPr>
                <w:rFonts w:ascii="Calibri" w:hAnsi="Calibri"/>
                <w:sz w:val="20"/>
                <w:lang w:val="pt-BR"/>
              </w:rPr>
              <w:t xml:space="preserve"> </w:t>
            </w:r>
            <w:proofErr w:type="spellStart"/>
            <w:r w:rsidRPr="0087435D">
              <w:rPr>
                <w:rFonts w:ascii="Calibri" w:hAnsi="Calibri"/>
                <w:sz w:val="20"/>
                <w:lang w:val="pt-BR"/>
              </w:rPr>
              <w:t>Sense</w:t>
            </w:r>
            <w:proofErr w:type="spellEnd"/>
            <w:r w:rsidRPr="0087435D">
              <w:rPr>
                <w:rFonts w:ascii="Calibri" w:hAnsi="Calibri"/>
                <w:sz w:val="20"/>
                <w:lang w:val="pt-BR"/>
              </w:rPr>
              <w:t xml:space="preserve"> para o monitoramento das receitas judiciais na 1ª Instância. A Meta TJMG 95, que estabelece a execução de 100% das atividades previstas no Projeto de Aprimoramento da Gestão de Cobrança de Custas Processuais em 2025, alcançou 50%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9.23</w:t>
            </w:r>
            <w:r w:rsidRPr="0087435D">
              <w:rPr>
                <w:rFonts w:ascii="Calibri" w:hAnsi="Calibri"/>
                <w:sz w:val="18"/>
                <w:lang w:val="pt-BR"/>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8" w:name="meta_1ª_VICE_PRESIDÊNCIA_11"/>
            <w:bookmarkEnd w:id="58"/>
            <w:r w:rsidRPr="0087435D">
              <w:rPr>
                <w:rFonts w:ascii="Calibri" w:hAnsi="Calibri"/>
                <w:b/>
                <w:sz w:val="18"/>
                <w:lang w:val="pt-BR"/>
              </w:rPr>
              <w:t>TJMG 96</w:t>
            </w:r>
            <w:r w:rsidRPr="0087435D">
              <w:rPr>
                <w:rFonts w:ascii="Calibri" w:hAnsi="Calibri"/>
                <w:sz w:val="18"/>
                <w:lang w:val="pt-BR"/>
              </w:rPr>
              <w:t xml:space="preserve"> - Executar, em 2025, 100% (cem por cento) das atividades previstas, para o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93%</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75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A meta da iniciativa 75 – Ampliação da Eficácia da Sistemática dos Precedentes Qualificados é executar, em 2025, 100% das atividades previstas para o ano. Das 29 atividades previstas para o ano de 2025, 27 foram concluídas, o que corresponde ao valor apurado de 93% até dezembro de 2025. As atividades concluídas são: Oferta do curso de Precedentes – Juízes leigos e servidores. Ao final, o curso obteve 191 aprovados. Oferta do curso de treinamento para Escrivães e Escreventes - Gestão de Processos Sobrestados. Na qual participaram da formação, aproximadamente, 25 gestores de cartórios Cíveis e Criminais. Desenvolvida pelo TJMG, a ferramenta automatizada de identificação de precedentes potencialmente aplicáveis ao processo em análise, agilizando a análise dos recursos e promovendo maior uniformização e segurança jurídica nas decisões. A implantação ocorreu em ondas, sendo: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w:t>
            </w:r>
            <w:proofErr w:type="spellStart"/>
            <w:r w:rsidRPr="0087435D">
              <w:rPr>
                <w:rFonts w:ascii="Calibri" w:hAnsi="Calibri"/>
                <w:sz w:val="20"/>
                <w:lang w:val="pt-BR"/>
              </w:rPr>
              <w:t>Jesp</w:t>
            </w:r>
            <w:proofErr w:type="spellEnd"/>
            <w:r w:rsidRPr="0087435D">
              <w:rPr>
                <w:rFonts w:ascii="Calibri" w:hAnsi="Calibri"/>
                <w:sz w:val="20"/>
                <w:lang w:val="pt-BR"/>
              </w:rPr>
              <w:t xml:space="preserve">),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w:t>
            </w:r>
            <w:proofErr w:type="spellStart"/>
            <w:r w:rsidRPr="0087435D">
              <w:rPr>
                <w:rFonts w:ascii="Calibri" w:hAnsi="Calibri"/>
                <w:sz w:val="20"/>
                <w:lang w:val="pt-BR"/>
              </w:rPr>
              <w:t>Jaboticatuba</w:t>
            </w:r>
            <w:proofErr w:type="spellEnd"/>
            <w:r w:rsidRPr="0087435D">
              <w:rPr>
                <w:rFonts w:ascii="Calibri" w:hAnsi="Calibri"/>
                <w:sz w:val="20"/>
                <w:lang w:val="pt-BR"/>
              </w:rPr>
              <w:t xml:space="preserve">, Juatuba, Alto Rio Doce, Barroso, Bicas, Carandaí, Divino, Ervália e Espera Feliz, com um total de 215 máquinas adaptadas. Na 6ª onda as comarcas contempladas foram: </w:t>
            </w:r>
            <w:proofErr w:type="spellStart"/>
            <w:r w:rsidRPr="0087435D">
              <w:rPr>
                <w:rFonts w:ascii="Calibri" w:hAnsi="Calibri"/>
                <w:sz w:val="20"/>
                <w:lang w:val="pt-BR"/>
              </w:rPr>
              <w:t>Eugenópolis</w:t>
            </w:r>
            <w:proofErr w:type="spellEnd"/>
            <w:r w:rsidRPr="0087435D">
              <w:rPr>
                <w:rFonts w:ascii="Calibri" w:hAnsi="Calibri"/>
                <w:sz w:val="20"/>
                <w:lang w:val="pt-BR"/>
              </w:rPr>
              <w:t xml:space="preserve">, Guarani, </w:t>
            </w:r>
            <w:proofErr w:type="spellStart"/>
            <w:r w:rsidRPr="0087435D">
              <w:rPr>
                <w:rFonts w:ascii="Calibri" w:hAnsi="Calibri"/>
                <w:sz w:val="20"/>
                <w:lang w:val="pt-BR"/>
              </w:rPr>
              <w:t>Jequeri</w:t>
            </w:r>
            <w:proofErr w:type="spellEnd"/>
            <w:r w:rsidRPr="0087435D">
              <w:rPr>
                <w:rFonts w:ascii="Calibri" w:hAnsi="Calibri"/>
                <w:sz w:val="20"/>
                <w:lang w:val="pt-BR"/>
              </w:rPr>
              <w:t xml:space="preserve">, Lajinha, Lima Duarte, Mas de Espanha, Matias Barbosa, Mercês e Miradouro, com 187 máquinas adaptadas. A 7ª onda contemplou as seguintes comarcas: Miraí, Palma, Piranga, </w:t>
            </w:r>
            <w:proofErr w:type="spellStart"/>
            <w:r w:rsidRPr="0087435D">
              <w:rPr>
                <w:rFonts w:ascii="Calibri" w:hAnsi="Calibri"/>
                <w:sz w:val="20"/>
                <w:lang w:val="pt-BR"/>
              </w:rPr>
              <w:t>Pirapetinga</w:t>
            </w:r>
            <w:proofErr w:type="spellEnd"/>
            <w:r w:rsidRPr="0087435D">
              <w:rPr>
                <w:rFonts w:ascii="Calibri" w:hAnsi="Calibri"/>
                <w:sz w:val="20"/>
                <w:lang w:val="pt-BR"/>
              </w:rPr>
              <w:t xml:space="preserve">, Raul Soares, Resende Costa, Rio Casca, Rio Novo, Rio Pomba. Com 167 máquinas adaptadas. Na 8ª onda as comarcas contempladas foram: Rio Preto, Senador Firmino, </w:t>
            </w:r>
            <w:proofErr w:type="spellStart"/>
            <w:r w:rsidRPr="0087435D">
              <w:rPr>
                <w:rFonts w:ascii="Calibri" w:hAnsi="Calibri"/>
                <w:sz w:val="20"/>
                <w:lang w:val="pt-BR"/>
              </w:rPr>
              <w:t>Teixeiras</w:t>
            </w:r>
            <w:proofErr w:type="spellEnd"/>
            <w:r w:rsidRPr="0087435D">
              <w:rPr>
                <w:rFonts w:ascii="Calibri" w:hAnsi="Calibri"/>
                <w:sz w:val="20"/>
                <w:lang w:val="pt-BR"/>
              </w:rPr>
              <w:t xml:space="preserve">, Tombos, </w:t>
            </w:r>
            <w:proofErr w:type="spellStart"/>
            <w:r w:rsidRPr="0087435D">
              <w:rPr>
                <w:rFonts w:ascii="Calibri" w:hAnsi="Calibri"/>
                <w:sz w:val="20"/>
                <w:lang w:val="pt-BR"/>
              </w:rPr>
              <w:t>Aiuroca</w:t>
            </w:r>
            <w:proofErr w:type="spellEnd"/>
            <w:r w:rsidRPr="0087435D">
              <w:rPr>
                <w:rFonts w:ascii="Calibri" w:hAnsi="Calibri"/>
                <w:sz w:val="20"/>
                <w:lang w:val="pt-BR"/>
              </w:rPr>
              <w:t xml:space="preserve">, Alpinópolis, Andrelândia, Areado e Baependi. Na 9ª onda as comarcas contempladas foram: Bambuí, Bom Sucesso, Borda da Mata, Botelhos, </w:t>
            </w:r>
            <w:proofErr w:type="spellStart"/>
            <w:r w:rsidRPr="0087435D">
              <w:rPr>
                <w:rFonts w:ascii="Calibri" w:hAnsi="Calibri"/>
                <w:sz w:val="20"/>
                <w:lang w:val="pt-BR"/>
              </w:rPr>
              <w:t>Brazópolis</w:t>
            </w:r>
            <w:proofErr w:type="spellEnd"/>
            <w:r w:rsidRPr="0087435D">
              <w:rPr>
                <w:rFonts w:ascii="Calibri" w:hAnsi="Calibri"/>
                <w:sz w:val="20"/>
                <w:lang w:val="pt-BR"/>
              </w:rPr>
              <w:t xml:space="preserve">, Bueno Brandão, Cabo Verde, Cachoeira de Minas e Caldas, com 178 máquinas adaptadas, para além da comarca de belo Horizonte com 106 máquinas adaptadas. Já na 10ª onda, foram </w:t>
            </w:r>
            <w:proofErr w:type="gramStart"/>
            <w:r w:rsidRPr="0087435D">
              <w:rPr>
                <w:rFonts w:ascii="Calibri" w:hAnsi="Calibri"/>
                <w:sz w:val="20"/>
                <w:lang w:val="pt-BR"/>
              </w:rPr>
              <w:t>202 máquina</w:t>
            </w:r>
            <w:proofErr w:type="gramEnd"/>
            <w:r w:rsidRPr="0087435D">
              <w:rPr>
                <w:rFonts w:ascii="Calibri" w:hAnsi="Calibri"/>
                <w:sz w:val="20"/>
                <w:lang w:val="pt-BR"/>
              </w:rPr>
              <w:t xml:space="preserve"> adaptadas, contemplando as seguintes comarcas: </w:t>
            </w:r>
            <w:proofErr w:type="spellStart"/>
            <w:r w:rsidRPr="0087435D">
              <w:rPr>
                <w:rFonts w:ascii="Calibri" w:hAnsi="Calibri"/>
                <w:sz w:val="20"/>
                <w:lang w:val="pt-BR"/>
              </w:rPr>
              <w:t>Carmópolis</w:t>
            </w:r>
            <w:proofErr w:type="spellEnd"/>
            <w:r w:rsidRPr="0087435D">
              <w:rPr>
                <w:rFonts w:ascii="Calibri" w:hAnsi="Calibri"/>
                <w:sz w:val="20"/>
                <w:lang w:val="pt-BR"/>
              </w:rPr>
              <w:t xml:space="preserve"> de Minas, Caxambu, Cláudio, Conceição do Rio Verde, Cristina, Cruzília, Elói Mendes, </w:t>
            </w:r>
            <w:proofErr w:type="spellStart"/>
            <w:r w:rsidRPr="0087435D">
              <w:rPr>
                <w:rFonts w:ascii="Calibri" w:hAnsi="Calibri"/>
                <w:sz w:val="20"/>
                <w:lang w:val="pt-BR"/>
              </w:rPr>
              <w:t>Guapé</w:t>
            </w:r>
            <w:proofErr w:type="spellEnd"/>
            <w:r w:rsidRPr="0087435D">
              <w:rPr>
                <w:rFonts w:ascii="Calibri" w:hAnsi="Calibri"/>
                <w:sz w:val="20"/>
                <w:lang w:val="pt-BR"/>
              </w:rPr>
              <w:t xml:space="preserve"> e Guaranésia. Apresentado aos desembargadores e assessores indicados o conteúdo para ação de nivelamento da ação de Aperfeiçoamento na formação de precedentes - IRDR e IAC. Após elaboração da proposta de Gestão de Incidentes de Uniformização de Jurisprudência - </w:t>
            </w:r>
            <w:proofErr w:type="spellStart"/>
            <w:r w:rsidRPr="0087435D">
              <w:rPr>
                <w:rFonts w:ascii="Calibri" w:hAnsi="Calibri"/>
                <w:sz w:val="20"/>
                <w:lang w:val="pt-BR"/>
              </w:rPr>
              <w:t>IUJs</w:t>
            </w:r>
            <w:proofErr w:type="spellEnd"/>
            <w:r w:rsidRPr="0087435D">
              <w:rPr>
                <w:rFonts w:ascii="Calibri" w:hAnsi="Calibri"/>
                <w:sz w:val="20"/>
                <w:lang w:val="pt-BR"/>
              </w:rPr>
              <w:t xml:space="preserve">, a mesma foi apresentada ao 1º </w:t>
            </w:r>
            <w:proofErr w:type="gramStart"/>
            <w:r w:rsidRPr="0087435D">
              <w:rPr>
                <w:rFonts w:ascii="Calibri" w:hAnsi="Calibri"/>
                <w:sz w:val="20"/>
                <w:lang w:val="pt-BR"/>
              </w:rPr>
              <w:t>Vice Presidente</w:t>
            </w:r>
            <w:proofErr w:type="gramEnd"/>
            <w:r w:rsidRPr="0087435D">
              <w:rPr>
                <w:rFonts w:ascii="Calibri" w:hAnsi="Calibri"/>
                <w:sz w:val="20"/>
                <w:lang w:val="pt-BR"/>
              </w:rPr>
              <w:t>. Publicada a cartilha Ferramentas de Identificação Automática de Precedentes Qualificados, elaborada pela COAPE para orientar adequadamente os usuários do sistema.</w:t>
            </w:r>
          </w:p>
        </w:tc>
      </w:tr>
    </w:tbl>
    <w:p w:rsidR="00760DE1" w:rsidRPr="0087435D" w:rsidRDefault="00760DE1">
      <w:pPr>
        <w:rPr>
          <w:lang w:val="pt-BR"/>
        </w:rPr>
        <w:sectPr w:rsidR="00760DE1" w:rsidRPr="0087435D">
          <w:headerReference w:type="default" r:id="rId21"/>
          <w:footerReference w:type="default" r:id="rId22"/>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10 - OTIMIZAÇÃO DA GESTÃO DE PESSOAS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10.5</w:t>
            </w:r>
            <w:r w:rsidRPr="0087435D">
              <w:rPr>
                <w:rFonts w:ascii="Calibri" w:hAnsi="Calibri"/>
                <w:sz w:val="18"/>
                <w:lang w:val="pt-BR"/>
              </w:rPr>
              <w:t xml:space="preserve"> - Taxa de consolidação do Programa de Pós-Graduação da Escola Judicial Desembargador </w:t>
            </w:r>
            <w:proofErr w:type="spellStart"/>
            <w:r w:rsidRPr="0087435D">
              <w:rPr>
                <w:rFonts w:ascii="Calibri" w:hAnsi="Calibri"/>
                <w:sz w:val="18"/>
                <w:lang w:val="pt-BR"/>
              </w:rPr>
              <w:t>Edésio</w:t>
            </w:r>
            <w:proofErr w:type="spellEnd"/>
            <w:r w:rsidRPr="0087435D">
              <w:rPr>
                <w:rFonts w:ascii="Calibri" w:hAnsi="Calibri"/>
                <w:sz w:val="18"/>
                <w:lang w:val="pt-BR"/>
              </w:rPr>
              <w:t xml:space="preserve">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59" w:name="meta_2ª_VICE_PRESIDÊNCIA_0"/>
            <w:bookmarkEnd w:id="59"/>
            <w:r w:rsidRPr="0087435D">
              <w:rPr>
                <w:rFonts w:ascii="Calibri" w:hAnsi="Calibri"/>
                <w:b/>
                <w:sz w:val="18"/>
                <w:lang w:val="pt-BR"/>
              </w:rPr>
              <w:t>TJMG 67</w:t>
            </w:r>
            <w:r w:rsidRPr="0087435D">
              <w:rPr>
                <w:rFonts w:ascii="Calibri" w:hAnsi="Calibri"/>
                <w:sz w:val="18"/>
                <w:lang w:val="pt-BR"/>
              </w:rPr>
              <w:t xml:space="preserve"> - Cumprir, até o final de 2025, 94% (noventa e quatro por cento) das etapas/entregas de consolidação do Programa de Pós-Graduação da EJEF previstas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 xml:space="preserve">2ª Vice </w:t>
            </w: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85%</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50</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67 prevê o cumprimento, até o final de 2025, de 94% das entregas de consolidação do Programa de Pós-Graduação da EJEF previstas para o período de 2021-2026. Considerando que a meta é cumulativa, abarcando o ciclo mencionado, verifica-se que até 16/12/2025, foram concluídas 85% das entregas previstas para o Programa. As entregas Desenvolvimento do Projeto do 4º Curso de Pós-Graduação lato sensu da EJEF (Direito Processual Civil) e Desenvolvimento do Projeto do 5º Curso de Pós-Graduação lato sensu da EJEF (Direito Público) foram realizadas em 03/10/2025 e 08/10/2025, respectivamente. O Estudo e desenvolvimento 1º Curso de Pós-Graduação stricto sensu (mestrado) em parceria com outras instituições de ensino, resultou na finalização do termo de referência para a oferta de serviços educacionais da </w:t>
            </w:r>
            <w:proofErr w:type="spellStart"/>
            <w:r w:rsidRPr="0087435D">
              <w:rPr>
                <w:rFonts w:ascii="Calibri" w:hAnsi="Calibri"/>
                <w:sz w:val="20"/>
                <w:lang w:val="pt-BR"/>
              </w:rPr>
              <w:t>Puc</w:t>
            </w:r>
            <w:proofErr w:type="spellEnd"/>
            <w:r w:rsidRPr="0087435D">
              <w:rPr>
                <w:rFonts w:ascii="Calibri" w:hAnsi="Calibri"/>
                <w:sz w:val="20"/>
                <w:lang w:val="pt-BR"/>
              </w:rPr>
              <w:t xml:space="preserve"> Minas, bem como o cronograma e o plano de trabalho de curso. A realização das atividades previstas no Contrato nº 403/2024 foram concluídas em 17/12/2025. Formalizou-se, em 04 de dezembro de 2025, a parceria entre a EJEF e a Pontifícia Universidade Católica de Minas Gerais (PUC Minas) para implantação do mestrado e doutorado no âmbito do Tribunal. Os cursos integram o Programa de Pós-Graduação Stricto Sensu em Ciências Sociais, Área de Concentração em Cidades: Cultura, Trabalho e Políticas Públicas da PUC Minas. A oferta do 1º Curso de Pós-Graduação stricto sensu está prevista para ocorrer até 13/03/2026.</w:t>
            </w:r>
          </w:p>
        </w:tc>
      </w:tr>
    </w:tbl>
    <w:p w:rsidR="00760DE1" w:rsidRPr="0087435D" w:rsidRDefault="00760DE1">
      <w:pPr>
        <w:rPr>
          <w:lang w:val="pt-BR"/>
        </w:rPr>
        <w:sectPr w:rsidR="00760DE1" w:rsidRPr="0087435D">
          <w:headerReference w:type="default" r:id="rId23"/>
          <w:footerReference w:type="default" r:id="rId24"/>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2 - AMPLIAÇÃO DA RELAÇÃO INSTITUCIONAL DO JUDICIÁRIO COM A SOCIEDADE</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2.4</w:t>
            </w:r>
            <w:r w:rsidRPr="0087435D">
              <w:rPr>
                <w:rFonts w:ascii="Calibri" w:hAnsi="Calibri"/>
                <w:sz w:val="18"/>
                <w:lang w:val="pt-BR"/>
              </w:rPr>
              <w:t xml:space="preserve"> - Número de ações de </w:t>
            </w:r>
            <w:proofErr w:type="spellStart"/>
            <w:r w:rsidRPr="0087435D">
              <w:rPr>
                <w:rFonts w:ascii="Calibri" w:hAnsi="Calibri"/>
                <w:sz w:val="18"/>
                <w:lang w:val="pt-BR"/>
              </w:rPr>
              <w:t>itinerância</w:t>
            </w:r>
            <w:proofErr w:type="spellEnd"/>
            <w:r w:rsidRPr="0087435D">
              <w:rPr>
                <w:rFonts w:ascii="Calibri" w:hAnsi="Calibri"/>
                <w:sz w:val="18"/>
                <w:lang w:val="pt-BR"/>
              </w:rPr>
              <w:t xml:space="preserve">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0" w:name="meta_3ª_VICE___PRESIDÊNCIA_0"/>
            <w:bookmarkEnd w:id="60"/>
            <w:r w:rsidRPr="0087435D">
              <w:rPr>
                <w:rFonts w:ascii="Calibri" w:hAnsi="Calibri"/>
                <w:b/>
                <w:sz w:val="18"/>
                <w:lang w:val="pt-BR"/>
              </w:rPr>
              <w:t>TJMG 100</w:t>
            </w:r>
            <w:r w:rsidRPr="0087435D">
              <w:rPr>
                <w:rFonts w:ascii="Calibri" w:hAnsi="Calibri"/>
                <w:sz w:val="18"/>
                <w:lang w:val="pt-BR"/>
              </w:rPr>
              <w:t xml:space="preserve"> - Promover, por ação própria ou mediante parceria com outros órgãos internos e externos ao TJMG, o oferecimento de serviços de </w:t>
            </w:r>
            <w:proofErr w:type="spellStart"/>
            <w:r w:rsidRPr="0087435D">
              <w:rPr>
                <w:rFonts w:ascii="Calibri" w:hAnsi="Calibri"/>
                <w:sz w:val="18"/>
                <w:lang w:val="pt-BR"/>
              </w:rPr>
              <w:t>itinerância</w:t>
            </w:r>
            <w:proofErr w:type="spellEnd"/>
            <w:r w:rsidRPr="0087435D">
              <w:rPr>
                <w:rFonts w:ascii="Calibri" w:hAnsi="Calibri"/>
                <w:sz w:val="18"/>
                <w:lang w:val="pt-BR"/>
              </w:rPr>
              <w:t xml:space="preserve">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lang w:val="pt-BR"/>
              </w:rPr>
            </w:pPr>
            <w:r w:rsidRPr="0087435D">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 meta TJMG 100 busca promover, por meio de ações próprias ou parcerias com outros órgãos, a oferta de serviços itinerantes em pelo menos 50 ações. Em 2025, foram realizadas 97 ações em 97 municípios: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Fevereiro</w:t>
            </w:r>
            <w:proofErr w:type="gramEnd"/>
            <w:r w:rsidRPr="0087435D">
              <w:rPr>
                <w:rFonts w:ascii="Calibri" w:hAnsi="Calibri"/>
                <w:sz w:val="20"/>
                <w:lang w:val="pt-BR"/>
              </w:rPr>
              <w:t xml:space="preserve">: Montezuma, Vargem Grande do Rio Pardo, Santo Antônio do Retiro, Caraí, </w:t>
            </w:r>
            <w:proofErr w:type="spellStart"/>
            <w:r w:rsidRPr="0087435D">
              <w:rPr>
                <w:rFonts w:ascii="Calibri" w:hAnsi="Calibri"/>
                <w:sz w:val="20"/>
                <w:lang w:val="pt-BR"/>
              </w:rPr>
              <w:t>Itaipé</w:t>
            </w:r>
            <w:proofErr w:type="spellEnd"/>
            <w:r w:rsidRPr="0087435D">
              <w:rPr>
                <w:rFonts w:ascii="Calibri" w:hAnsi="Calibri"/>
                <w:sz w:val="20"/>
                <w:lang w:val="pt-BR"/>
              </w:rPr>
              <w:t xml:space="preserve">, </w:t>
            </w:r>
            <w:proofErr w:type="spellStart"/>
            <w:r w:rsidRPr="0087435D">
              <w:rPr>
                <w:rFonts w:ascii="Calibri" w:hAnsi="Calibri"/>
                <w:sz w:val="20"/>
                <w:lang w:val="pt-BR"/>
              </w:rPr>
              <w:t>Catuji</w:t>
            </w:r>
            <w:proofErr w:type="spellEnd"/>
            <w:r w:rsidRPr="0087435D">
              <w:rPr>
                <w:rFonts w:ascii="Calibri" w:hAnsi="Calibri"/>
                <w:sz w:val="20"/>
                <w:lang w:val="pt-BR"/>
              </w:rPr>
              <w:t xml:space="preserve">, Bertópolis.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Março</w:t>
            </w:r>
            <w:proofErr w:type="gramEnd"/>
            <w:r w:rsidRPr="0087435D">
              <w:rPr>
                <w:rFonts w:ascii="Calibri" w:hAnsi="Calibri"/>
                <w:sz w:val="20"/>
                <w:lang w:val="pt-BR"/>
              </w:rPr>
              <w:t xml:space="preserve">: Laranjal, Rosário da Limeira, Miradouro, Vieiras, Esmeraldas.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Abril</w:t>
            </w:r>
            <w:proofErr w:type="gramEnd"/>
            <w:r w:rsidRPr="0087435D">
              <w:rPr>
                <w:rFonts w:ascii="Calibri" w:hAnsi="Calibri"/>
                <w:sz w:val="20"/>
                <w:lang w:val="pt-BR"/>
              </w:rPr>
              <w:t xml:space="preserve">: </w:t>
            </w:r>
            <w:proofErr w:type="spellStart"/>
            <w:r w:rsidRPr="0087435D">
              <w:rPr>
                <w:rFonts w:ascii="Calibri" w:hAnsi="Calibri"/>
                <w:sz w:val="20"/>
                <w:lang w:val="pt-BR"/>
              </w:rPr>
              <w:t>Ninheira</w:t>
            </w:r>
            <w:proofErr w:type="spellEnd"/>
            <w:r w:rsidRPr="0087435D">
              <w:rPr>
                <w:rFonts w:ascii="Calibri" w:hAnsi="Calibri"/>
                <w:sz w:val="20"/>
                <w:lang w:val="pt-BR"/>
              </w:rPr>
              <w:t xml:space="preserve">, </w:t>
            </w:r>
            <w:proofErr w:type="spellStart"/>
            <w:r w:rsidRPr="0087435D">
              <w:rPr>
                <w:rFonts w:ascii="Calibri" w:hAnsi="Calibri"/>
                <w:sz w:val="20"/>
                <w:lang w:val="pt-BR"/>
              </w:rPr>
              <w:t>Berizal</w:t>
            </w:r>
            <w:proofErr w:type="spellEnd"/>
            <w:r w:rsidRPr="0087435D">
              <w:rPr>
                <w:rFonts w:ascii="Calibri" w:hAnsi="Calibri"/>
                <w:sz w:val="20"/>
                <w:lang w:val="pt-BR"/>
              </w:rPr>
              <w:t xml:space="preserve">, Indaiabira, Curral de Dentro, Florestal, Olhos d'Água, </w:t>
            </w:r>
            <w:proofErr w:type="spellStart"/>
            <w:r w:rsidRPr="0087435D">
              <w:rPr>
                <w:rFonts w:ascii="Calibri" w:hAnsi="Calibri"/>
                <w:sz w:val="20"/>
                <w:lang w:val="pt-BR"/>
              </w:rPr>
              <w:t>Félixlândia</w:t>
            </w:r>
            <w:proofErr w:type="spellEnd"/>
            <w:r w:rsidRPr="0087435D">
              <w:rPr>
                <w:rFonts w:ascii="Calibri" w:hAnsi="Calibri"/>
                <w:sz w:val="20"/>
                <w:lang w:val="pt-BR"/>
              </w:rPr>
              <w:t xml:space="preserve">, Ribeirão das Neves, Taiobeiras.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Maio</w:t>
            </w:r>
            <w:proofErr w:type="gramEnd"/>
            <w:r w:rsidRPr="0087435D">
              <w:rPr>
                <w:rFonts w:ascii="Calibri" w:hAnsi="Calibri"/>
                <w:sz w:val="20"/>
                <w:lang w:val="pt-BR"/>
              </w:rPr>
              <w:t xml:space="preserve">: Alto </w:t>
            </w:r>
            <w:proofErr w:type="spellStart"/>
            <w:r w:rsidRPr="0087435D">
              <w:rPr>
                <w:rFonts w:ascii="Calibri" w:hAnsi="Calibri"/>
                <w:sz w:val="20"/>
                <w:lang w:val="pt-BR"/>
              </w:rPr>
              <w:t>Caraparaó</w:t>
            </w:r>
            <w:proofErr w:type="spellEnd"/>
            <w:r w:rsidRPr="0087435D">
              <w:rPr>
                <w:rFonts w:ascii="Calibri" w:hAnsi="Calibri"/>
                <w:sz w:val="20"/>
                <w:lang w:val="pt-BR"/>
              </w:rPr>
              <w:t xml:space="preserve">, Alto Jequitibá, </w:t>
            </w:r>
            <w:proofErr w:type="spellStart"/>
            <w:r w:rsidRPr="0087435D">
              <w:rPr>
                <w:rFonts w:ascii="Calibri" w:hAnsi="Calibri"/>
                <w:sz w:val="20"/>
                <w:lang w:val="pt-BR"/>
              </w:rPr>
              <w:t>Duradé</w:t>
            </w:r>
            <w:proofErr w:type="spellEnd"/>
            <w:r w:rsidRPr="0087435D">
              <w:rPr>
                <w:rFonts w:ascii="Calibri" w:hAnsi="Calibri"/>
                <w:sz w:val="20"/>
                <w:lang w:val="pt-BR"/>
              </w:rPr>
              <w:t xml:space="preserve">, Martins Soares, Barão do Monte Alto, Juiz de Fora, </w:t>
            </w:r>
            <w:proofErr w:type="spellStart"/>
            <w:r w:rsidRPr="0087435D">
              <w:rPr>
                <w:rFonts w:ascii="Calibri" w:hAnsi="Calibri"/>
                <w:sz w:val="20"/>
                <w:lang w:val="pt-BR"/>
              </w:rPr>
              <w:t>Orizânia</w:t>
            </w:r>
            <w:proofErr w:type="spellEnd"/>
            <w:r w:rsidRPr="0087435D">
              <w:rPr>
                <w:rFonts w:ascii="Calibri" w:hAnsi="Calibri"/>
                <w:sz w:val="20"/>
                <w:lang w:val="pt-BR"/>
              </w:rPr>
              <w:t xml:space="preserve">, Bom Jesus do Divino (Distrito), Pirapora, Santa Rita do Jacutinga, Coroaci, Ribeirão das Neves, Serro. </w:t>
            </w:r>
          </w:p>
          <w:p w:rsidR="00760DE1" w:rsidRPr="0087435D" w:rsidRDefault="0087435D">
            <w:pPr>
              <w:spacing w:after="0"/>
              <w:jc w:val="both"/>
              <w:rPr>
                <w:lang w:val="pt-BR"/>
              </w:rPr>
            </w:pPr>
            <w:r w:rsidRPr="0087435D">
              <w:rPr>
                <w:rFonts w:ascii="Calibri" w:hAnsi="Calibri"/>
                <w:sz w:val="20"/>
                <w:lang w:val="pt-BR"/>
              </w:rPr>
              <w:t xml:space="preserve">• Junho: Serra Azul de Minas, Santo Antônio do Itambé, Alvorada de </w:t>
            </w:r>
            <w:proofErr w:type="gramStart"/>
            <w:r w:rsidRPr="0087435D">
              <w:rPr>
                <w:rFonts w:ascii="Calibri" w:hAnsi="Calibri"/>
                <w:sz w:val="20"/>
                <w:lang w:val="pt-BR"/>
              </w:rPr>
              <w:t>Minas,  Monte</w:t>
            </w:r>
            <w:proofErr w:type="gramEnd"/>
            <w:r w:rsidRPr="0087435D">
              <w:rPr>
                <w:rFonts w:ascii="Calibri" w:hAnsi="Calibri"/>
                <w:sz w:val="20"/>
                <w:lang w:val="pt-BR"/>
              </w:rPr>
              <w:t xml:space="preserve"> Santo de Minas, </w:t>
            </w:r>
            <w:proofErr w:type="spellStart"/>
            <w:r w:rsidRPr="0087435D">
              <w:rPr>
                <w:rFonts w:ascii="Calibri" w:hAnsi="Calibri"/>
                <w:sz w:val="20"/>
                <w:lang w:val="pt-BR"/>
              </w:rPr>
              <w:t>Aceburgo</w:t>
            </w:r>
            <w:proofErr w:type="spellEnd"/>
            <w:r w:rsidRPr="0087435D">
              <w:rPr>
                <w:rFonts w:ascii="Calibri" w:hAnsi="Calibri"/>
                <w:sz w:val="20"/>
                <w:lang w:val="pt-BR"/>
              </w:rPr>
              <w:t xml:space="preserve">, Santa Luzia, Bom Jesus do Divino (Distrito).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Julho</w:t>
            </w:r>
            <w:proofErr w:type="gramEnd"/>
            <w:r w:rsidRPr="0087435D">
              <w:rPr>
                <w:rFonts w:ascii="Calibri" w:hAnsi="Calibri"/>
                <w:sz w:val="20"/>
                <w:lang w:val="pt-BR"/>
              </w:rPr>
              <w:t xml:space="preserve">: Frei </w:t>
            </w:r>
            <w:proofErr w:type="spellStart"/>
            <w:r w:rsidRPr="0087435D">
              <w:rPr>
                <w:rFonts w:ascii="Calibri" w:hAnsi="Calibri"/>
                <w:sz w:val="20"/>
                <w:lang w:val="pt-BR"/>
              </w:rPr>
              <w:t>Lagonegro</w:t>
            </w:r>
            <w:proofErr w:type="spellEnd"/>
            <w:r w:rsidRPr="0087435D">
              <w:rPr>
                <w:rFonts w:ascii="Calibri" w:hAnsi="Calibri"/>
                <w:sz w:val="20"/>
                <w:lang w:val="pt-BR"/>
              </w:rPr>
              <w:t xml:space="preserve">, Coroaci, Açucena, Santo Antônio do Monte, São Francisco de Paula, Belo Oriente, Distrito de Queixada, Distrito de Lufa, Barra do </w:t>
            </w:r>
            <w:proofErr w:type="spellStart"/>
            <w:r w:rsidRPr="0087435D">
              <w:rPr>
                <w:rFonts w:ascii="Calibri" w:hAnsi="Calibri"/>
                <w:sz w:val="20"/>
                <w:lang w:val="pt-BR"/>
              </w:rPr>
              <w:t>Guaicuí</w:t>
            </w:r>
            <w:proofErr w:type="spellEnd"/>
            <w:r w:rsidRPr="0087435D">
              <w:rPr>
                <w:rFonts w:ascii="Calibri" w:hAnsi="Calibri"/>
                <w:sz w:val="20"/>
                <w:lang w:val="pt-BR"/>
              </w:rPr>
              <w:t xml:space="preserve">, </w:t>
            </w:r>
            <w:proofErr w:type="spellStart"/>
            <w:r w:rsidRPr="0087435D">
              <w:rPr>
                <w:rFonts w:ascii="Calibri" w:hAnsi="Calibri"/>
                <w:sz w:val="20"/>
                <w:lang w:val="pt-BR"/>
              </w:rPr>
              <w:t>Lassance</w:t>
            </w:r>
            <w:proofErr w:type="spellEnd"/>
            <w:r w:rsidRPr="0087435D">
              <w:rPr>
                <w:rFonts w:ascii="Calibri" w:hAnsi="Calibri"/>
                <w:sz w:val="20"/>
                <w:lang w:val="pt-BR"/>
              </w:rPr>
              <w:t xml:space="preserve">, Várzea da Palma.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Agosto</w:t>
            </w:r>
            <w:proofErr w:type="gramEnd"/>
            <w:r w:rsidRPr="0087435D">
              <w:rPr>
                <w:rFonts w:ascii="Calibri" w:hAnsi="Calibri"/>
                <w:sz w:val="20"/>
                <w:lang w:val="pt-BR"/>
              </w:rPr>
              <w:t xml:space="preserve">: Presidente Bernardes, Rochedo de Minas, Descoberto, </w:t>
            </w:r>
            <w:proofErr w:type="spellStart"/>
            <w:r w:rsidRPr="0087435D">
              <w:rPr>
                <w:rFonts w:ascii="Calibri" w:hAnsi="Calibri"/>
                <w:sz w:val="20"/>
                <w:lang w:val="pt-BR"/>
              </w:rPr>
              <w:t>Araporã</w:t>
            </w:r>
            <w:proofErr w:type="spellEnd"/>
            <w:r w:rsidRPr="0087435D">
              <w:rPr>
                <w:rFonts w:ascii="Calibri" w:hAnsi="Calibri"/>
                <w:sz w:val="20"/>
                <w:lang w:val="pt-BR"/>
              </w:rPr>
              <w:t xml:space="preserve">, Tupaciguara, </w:t>
            </w:r>
            <w:proofErr w:type="spellStart"/>
            <w:r w:rsidRPr="0087435D">
              <w:rPr>
                <w:rFonts w:ascii="Calibri" w:hAnsi="Calibri"/>
                <w:sz w:val="20"/>
                <w:lang w:val="pt-BR"/>
              </w:rPr>
              <w:t>Pirajuba</w:t>
            </w:r>
            <w:proofErr w:type="spellEnd"/>
            <w:r w:rsidRPr="0087435D">
              <w:rPr>
                <w:rFonts w:ascii="Calibri" w:hAnsi="Calibri"/>
                <w:sz w:val="20"/>
                <w:lang w:val="pt-BR"/>
              </w:rPr>
              <w:t xml:space="preserve">, Aldeia Indígena </w:t>
            </w:r>
            <w:proofErr w:type="spellStart"/>
            <w:r w:rsidRPr="0087435D">
              <w:rPr>
                <w:rFonts w:ascii="Calibri" w:hAnsi="Calibri"/>
                <w:sz w:val="20"/>
                <w:lang w:val="pt-BR"/>
              </w:rPr>
              <w:t>Maxacali</w:t>
            </w:r>
            <w:proofErr w:type="spellEnd"/>
            <w:r w:rsidRPr="0087435D">
              <w:rPr>
                <w:rFonts w:ascii="Calibri" w:hAnsi="Calibri"/>
                <w:sz w:val="20"/>
                <w:lang w:val="pt-BR"/>
              </w:rPr>
              <w:t xml:space="preserve">, Unaí, Sarzedo, Mário Campos, Goiabeiras. </w:t>
            </w:r>
          </w:p>
          <w:p w:rsidR="00760DE1" w:rsidRPr="0087435D" w:rsidRDefault="0087435D">
            <w:pPr>
              <w:spacing w:after="0"/>
              <w:jc w:val="both"/>
              <w:rPr>
                <w:lang w:val="pt-BR"/>
              </w:rPr>
            </w:pPr>
            <w:r w:rsidRPr="0087435D">
              <w:rPr>
                <w:rFonts w:ascii="Calibri" w:hAnsi="Calibri"/>
                <w:sz w:val="20"/>
                <w:lang w:val="pt-BR"/>
              </w:rPr>
              <w:t xml:space="preserve">• Setembro: Aparecida do Sul, </w:t>
            </w:r>
            <w:proofErr w:type="spellStart"/>
            <w:r w:rsidRPr="0087435D">
              <w:rPr>
                <w:rFonts w:ascii="Calibri" w:hAnsi="Calibri"/>
                <w:sz w:val="20"/>
                <w:lang w:val="pt-BR"/>
              </w:rPr>
              <w:t>Ilicinea</w:t>
            </w:r>
            <w:proofErr w:type="spellEnd"/>
            <w:r w:rsidRPr="0087435D">
              <w:rPr>
                <w:rFonts w:ascii="Calibri" w:hAnsi="Calibri"/>
                <w:sz w:val="20"/>
                <w:lang w:val="pt-BR"/>
              </w:rPr>
              <w:t xml:space="preserve">, </w:t>
            </w:r>
            <w:proofErr w:type="spellStart"/>
            <w:proofErr w:type="gramStart"/>
            <w:r w:rsidRPr="0087435D">
              <w:rPr>
                <w:rFonts w:ascii="Calibri" w:hAnsi="Calibri"/>
                <w:sz w:val="20"/>
                <w:lang w:val="pt-BR"/>
              </w:rPr>
              <w:t>Coqueiral,Brasilândia</w:t>
            </w:r>
            <w:proofErr w:type="spellEnd"/>
            <w:proofErr w:type="gramEnd"/>
            <w:r w:rsidRPr="0087435D">
              <w:rPr>
                <w:rFonts w:ascii="Calibri" w:hAnsi="Calibri"/>
                <w:sz w:val="20"/>
                <w:lang w:val="pt-BR"/>
              </w:rPr>
              <w:t xml:space="preserve"> de Minas, Lagoa Grande, Oliveira, Venda Nova, Uberlândia, Boa Esperança.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Outubro</w:t>
            </w:r>
            <w:proofErr w:type="gramEnd"/>
            <w:r w:rsidRPr="0087435D">
              <w:rPr>
                <w:rFonts w:ascii="Calibri" w:hAnsi="Calibri"/>
                <w:sz w:val="20"/>
                <w:lang w:val="pt-BR"/>
              </w:rPr>
              <w:t xml:space="preserve">: José Gonçalves de Minas, Leme do Pardo, Veredinha, São Geraldo do Baixo, Divino das Laranjeiras, </w:t>
            </w:r>
            <w:proofErr w:type="spellStart"/>
            <w:r w:rsidRPr="0087435D">
              <w:rPr>
                <w:rFonts w:ascii="Calibri" w:hAnsi="Calibri"/>
                <w:sz w:val="20"/>
                <w:lang w:val="pt-BR"/>
              </w:rPr>
              <w:t>Galiléia</w:t>
            </w:r>
            <w:proofErr w:type="spellEnd"/>
            <w:r w:rsidRPr="0087435D">
              <w:rPr>
                <w:rFonts w:ascii="Calibri" w:hAnsi="Calibri"/>
                <w:sz w:val="20"/>
                <w:lang w:val="pt-BR"/>
              </w:rPr>
              <w:t xml:space="preserve">, Antônio Dias, Distrito Brejão, Dionísio, São Domingos do Prata.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Novembro</w:t>
            </w:r>
            <w:proofErr w:type="gramEnd"/>
            <w:r w:rsidRPr="0087435D">
              <w:rPr>
                <w:rFonts w:ascii="Calibri" w:hAnsi="Calibri"/>
                <w:sz w:val="20"/>
                <w:lang w:val="pt-BR"/>
              </w:rPr>
              <w:t xml:space="preserve">: </w:t>
            </w:r>
            <w:proofErr w:type="spellStart"/>
            <w:r w:rsidRPr="0087435D">
              <w:rPr>
                <w:rFonts w:ascii="Calibri" w:hAnsi="Calibri"/>
                <w:sz w:val="20"/>
                <w:lang w:val="pt-BR"/>
              </w:rPr>
              <w:t>Luisburgo</w:t>
            </w:r>
            <w:proofErr w:type="spellEnd"/>
            <w:r w:rsidRPr="0087435D">
              <w:rPr>
                <w:rFonts w:ascii="Calibri" w:hAnsi="Calibri"/>
                <w:sz w:val="20"/>
                <w:lang w:val="pt-BR"/>
              </w:rPr>
              <w:t xml:space="preserve">, São João do Manhuaçu, </w:t>
            </w:r>
            <w:proofErr w:type="spellStart"/>
            <w:r w:rsidRPr="0087435D">
              <w:rPr>
                <w:rFonts w:ascii="Calibri" w:hAnsi="Calibri"/>
                <w:sz w:val="20"/>
                <w:lang w:val="pt-BR"/>
              </w:rPr>
              <w:t>Simonésia</w:t>
            </w:r>
            <w:proofErr w:type="spellEnd"/>
            <w:r w:rsidRPr="0087435D">
              <w:rPr>
                <w:rFonts w:ascii="Calibri" w:hAnsi="Calibri"/>
                <w:sz w:val="20"/>
                <w:lang w:val="pt-BR"/>
              </w:rPr>
              <w:t xml:space="preserve">, Reduto, Distrito de Maracujá, Varjão de Minas, São Gonçalo do Abaeté, Leopoldina, Felixlândia.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Dezembro</w:t>
            </w:r>
            <w:proofErr w:type="gramEnd"/>
            <w:r w:rsidRPr="0087435D">
              <w:rPr>
                <w:rFonts w:ascii="Calibri" w:hAnsi="Calibri"/>
                <w:sz w:val="20"/>
                <w:lang w:val="pt-BR"/>
              </w:rPr>
              <w:t xml:space="preserve">: Congonhas do Norte, Dom Joaquim, </w:t>
            </w:r>
            <w:proofErr w:type="spellStart"/>
            <w:r w:rsidRPr="0087435D">
              <w:rPr>
                <w:rFonts w:ascii="Calibri" w:hAnsi="Calibri"/>
                <w:sz w:val="20"/>
                <w:lang w:val="pt-BR"/>
              </w:rPr>
              <w:t>Carmésia</w:t>
            </w:r>
            <w:proofErr w:type="spellEnd"/>
            <w:r w:rsidRPr="0087435D">
              <w:rPr>
                <w:rFonts w:ascii="Calibri" w:hAnsi="Calibri"/>
                <w:sz w:val="20"/>
                <w:lang w:val="pt-BR"/>
              </w:rPr>
              <w:t>, Morro do Pilar, Rio Pardo de Minas, Serro</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5 - PREVENÇÃO DE LITÍGIOS E ADOÇÃO DE SOLUÇÕES CONSENSUAIS PARA OS CONFLITOS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5.9</w:t>
            </w:r>
            <w:r w:rsidRPr="0087435D">
              <w:rPr>
                <w:rFonts w:ascii="Calibri" w:hAnsi="Calibri"/>
                <w:sz w:val="18"/>
                <w:lang w:val="pt-BR"/>
              </w:rPr>
              <w:t xml:space="preserve"> - Percentual de sessões agendadas nos </w:t>
            </w:r>
            <w:proofErr w:type="spellStart"/>
            <w:r w:rsidRPr="0087435D">
              <w:rPr>
                <w:rFonts w:ascii="Calibri" w:hAnsi="Calibri"/>
                <w:sz w:val="18"/>
                <w:lang w:val="pt-BR"/>
              </w:rPr>
              <w:t>Cejuscs</w:t>
            </w:r>
            <w:proofErr w:type="spellEnd"/>
            <w:r w:rsidRPr="0087435D">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1" w:name="meta_3ª_VICE___PRESIDÊNCIA_1"/>
            <w:bookmarkEnd w:id="61"/>
            <w:r w:rsidRPr="0087435D">
              <w:rPr>
                <w:rFonts w:ascii="Calibri" w:hAnsi="Calibri"/>
                <w:b/>
                <w:sz w:val="18"/>
                <w:lang w:val="pt-BR"/>
              </w:rPr>
              <w:t>TJMG 97</w:t>
            </w:r>
            <w:r w:rsidRPr="0087435D">
              <w:rPr>
                <w:rFonts w:ascii="Calibri" w:hAnsi="Calibri"/>
                <w:sz w:val="18"/>
                <w:lang w:val="pt-BR"/>
              </w:rPr>
              <w:t xml:space="preserve"> - Aumentar, em 2025, uma média de pelo menos 1% (um por cento) no número de sessões agendadas nos </w:t>
            </w:r>
            <w:proofErr w:type="spellStart"/>
            <w:r w:rsidRPr="0087435D">
              <w:rPr>
                <w:rFonts w:ascii="Calibri" w:hAnsi="Calibri"/>
                <w:sz w:val="18"/>
                <w:lang w:val="pt-BR"/>
              </w:rPr>
              <w:t>CEJUSCs</w:t>
            </w:r>
            <w:proofErr w:type="spellEnd"/>
            <w:r w:rsidRPr="0087435D">
              <w:rPr>
                <w:rFonts w:ascii="Calibri" w:hAnsi="Calibri"/>
                <w:sz w:val="18"/>
                <w:lang w:val="pt-BR"/>
              </w:rPr>
              <w:t xml:space="preserve">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lang w:val="pt-BR"/>
              </w:rPr>
            </w:pPr>
            <w:r w:rsidRPr="0087435D">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30,81%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07</w:t>
            </w:r>
          </w:p>
        </w:tc>
      </w:tr>
      <w:tr w:rsidR="00760DE1">
        <w:tc>
          <w:tcPr>
            <w:tcW w:w="16157" w:type="dxa"/>
            <w:gridSpan w:val="7"/>
            <w:tcBorders>
              <w:top w:val="single" w:sz="2" w:space="0" w:color="A6A6A6"/>
              <w:left w:val="single" w:sz="2" w:space="0" w:color="A6A6A6"/>
              <w:bottom w:val="single" w:sz="2" w:space="0" w:color="A6A6A6"/>
              <w:right w:val="single" w:sz="2" w:space="0" w:color="A6A6A6"/>
            </w:tcBorders>
          </w:tcPr>
          <w:p w:rsidR="00760DE1" w:rsidRDefault="0087435D">
            <w:pPr>
              <w:spacing w:after="0"/>
              <w:jc w:val="both"/>
            </w:pPr>
            <w:r w:rsidRPr="0087435D">
              <w:rPr>
                <w:rFonts w:ascii="Calibri" w:hAnsi="Calibri"/>
                <w:b/>
                <w:sz w:val="20"/>
                <w:lang w:val="pt-BR"/>
              </w:rPr>
              <w:t xml:space="preserve">Situação: </w:t>
            </w:r>
            <w:r w:rsidRPr="0087435D">
              <w:rPr>
                <w:rFonts w:ascii="Calibri" w:hAnsi="Calibri"/>
                <w:sz w:val="20"/>
                <w:lang w:val="pt-BR"/>
              </w:rPr>
              <w:t xml:space="preserve">Com o objetivo de aumentar em 1% o número de sessões agendadas nos </w:t>
            </w:r>
            <w:proofErr w:type="spellStart"/>
            <w:r w:rsidRPr="0087435D">
              <w:rPr>
                <w:rFonts w:ascii="Calibri" w:hAnsi="Calibri"/>
                <w:sz w:val="20"/>
                <w:lang w:val="pt-BR"/>
              </w:rPr>
              <w:t>CEJUSCs</w:t>
            </w:r>
            <w:proofErr w:type="spellEnd"/>
            <w:r w:rsidRPr="0087435D">
              <w:rPr>
                <w:rFonts w:ascii="Calibri" w:hAnsi="Calibri"/>
                <w:sz w:val="20"/>
                <w:lang w:val="pt-BR"/>
              </w:rPr>
              <w:t xml:space="preserve"> em comparação com o ano anterior, o qual registrou 290.732 sessões agendadas. </w:t>
            </w:r>
            <w:proofErr w:type="spellStart"/>
            <w:r>
              <w:rPr>
                <w:rFonts w:ascii="Calibri" w:hAnsi="Calibri"/>
                <w:sz w:val="20"/>
              </w:rPr>
              <w:t>Em</w:t>
            </w:r>
            <w:proofErr w:type="spellEnd"/>
            <w:r>
              <w:rPr>
                <w:rFonts w:ascii="Calibri" w:hAnsi="Calibri"/>
                <w:sz w:val="20"/>
              </w:rPr>
              <w:t xml:space="preserve"> 2025, </w:t>
            </w:r>
            <w:proofErr w:type="spellStart"/>
            <w:r>
              <w:rPr>
                <w:rFonts w:ascii="Calibri" w:hAnsi="Calibri"/>
                <w:sz w:val="20"/>
              </w:rPr>
              <w:t>foram</w:t>
            </w:r>
            <w:proofErr w:type="spellEnd"/>
            <w:r>
              <w:rPr>
                <w:rFonts w:ascii="Calibri" w:hAnsi="Calibri"/>
                <w:sz w:val="20"/>
              </w:rPr>
              <w:t xml:space="preserve"> </w:t>
            </w:r>
            <w:proofErr w:type="spellStart"/>
            <w:r>
              <w:rPr>
                <w:rFonts w:ascii="Calibri" w:hAnsi="Calibri"/>
                <w:sz w:val="20"/>
              </w:rPr>
              <w:t>agendadas</w:t>
            </w:r>
            <w:proofErr w:type="spellEnd"/>
            <w:r>
              <w:rPr>
                <w:rFonts w:ascii="Calibri" w:hAnsi="Calibri"/>
                <w:sz w:val="20"/>
              </w:rPr>
              <w:t xml:space="preserve"> 380.316 sessões. Registrando um aumento de 30,81%.</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5.6</w:t>
            </w:r>
            <w:r w:rsidRPr="0087435D">
              <w:rPr>
                <w:rFonts w:ascii="Calibri" w:hAnsi="Calibri"/>
                <w:sz w:val="18"/>
                <w:lang w:val="pt-BR"/>
              </w:rPr>
              <w:t xml:space="preserve"> - Número de procedimentos </w:t>
            </w:r>
            <w:proofErr w:type="spellStart"/>
            <w:r w:rsidRPr="0087435D">
              <w:rPr>
                <w:rFonts w:ascii="Calibri" w:hAnsi="Calibri"/>
                <w:sz w:val="18"/>
                <w:lang w:val="pt-BR"/>
              </w:rPr>
              <w:t>pré</w:t>
            </w:r>
            <w:proofErr w:type="spellEnd"/>
            <w:r w:rsidRPr="0087435D">
              <w:rPr>
                <w:rFonts w:ascii="Calibri" w:hAnsi="Calibri"/>
                <w:sz w:val="18"/>
                <w:lang w:val="pt-BR"/>
              </w:rPr>
              <w:t xml:space="preserve">-processuais de reconhecimento de paternidade tratados no âmbito dos Centros Judiciários de Solução de Conflitos e Cidadania no setor </w:t>
            </w:r>
            <w:proofErr w:type="spellStart"/>
            <w:r w:rsidRPr="0087435D">
              <w:rPr>
                <w:rFonts w:ascii="Calibri" w:hAnsi="Calibri"/>
                <w:sz w:val="18"/>
                <w:lang w:val="pt-BR"/>
              </w:rPr>
              <w:t>pré</w:t>
            </w:r>
            <w:proofErr w:type="spellEnd"/>
            <w:r w:rsidRPr="0087435D">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2" w:name="meta_3ª_VICE___PRESIDÊNCIA_2"/>
            <w:bookmarkEnd w:id="62"/>
            <w:r w:rsidRPr="0087435D">
              <w:rPr>
                <w:rFonts w:ascii="Calibri" w:hAnsi="Calibri"/>
                <w:b/>
                <w:sz w:val="18"/>
                <w:lang w:val="pt-BR"/>
              </w:rPr>
              <w:t>TJMG 138</w:t>
            </w:r>
            <w:r w:rsidRPr="0087435D">
              <w:rPr>
                <w:rFonts w:ascii="Calibri" w:hAnsi="Calibri"/>
                <w:sz w:val="18"/>
                <w:lang w:val="pt-BR"/>
              </w:rPr>
              <w:t xml:space="preserve"> - Promover, em 2025, um atendimento de, no mínimo, 1200 (um mil e duzentos) procedimentos </w:t>
            </w:r>
            <w:proofErr w:type="spellStart"/>
            <w:r w:rsidRPr="0087435D">
              <w:rPr>
                <w:rFonts w:ascii="Calibri" w:hAnsi="Calibri"/>
                <w:sz w:val="18"/>
                <w:lang w:val="pt-BR"/>
              </w:rPr>
              <w:t>pré</w:t>
            </w:r>
            <w:proofErr w:type="spellEnd"/>
            <w:r w:rsidRPr="0087435D">
              <w:rPr>
                <w:rFonts w:ascii="Calibri" w:hAnsi="Calibri"/>
                <w:sz w:val="18"/>
                <w:lang w:val="pt-BR"/>
              </w:rPr>
              <w:t>-processuais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lang w:val="pt-BR"/>
              </w:rPr>
            </w:pPr>
            <w:r w:rsidRPr="0087435D">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2.755</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Em 2025, foram contabilizados 2.755 procedimentos, o que representa o cumprimento integral da meta com um expressivo excedente de 129% em relação ao objetivo inicial.</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5.</w:t>
            </w:r>
            <w:r w:rsidRPr="0087435D">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3" w:name="meta_3ª_VICE___PRESIDÊNCIA_3"/>
            <w:bookmarkEnd w:id="63"/>
            <w:r w:rsidRPr="0087435D">
              <w:rPr>
                <w:rFonts w:ascii="Calibri" w:hAnsi="Calibri"/>
                <w:b/>
                <w:sz w:val="18"/>
                <w:lang w:val="pt-BR"/>
              </w:rPr>
              <w:t>TJMG 139</w:t>
            </w:r>
            <w:r w:rsidRPr="0087435D">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lang w:val="pt-BR"/>
              </w:rPr>
            </w:pPr>
            <w:r w:rsidRPr="0087435D">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No ciclo de 2025, o projeto "Novos Voos" foi efetivamente implementado na comarca de Araxá. Adicionalmente, foram iniciados os processos de formalização nas comarcas de Belo Horizonte, Brumadinho, Mariana, Ponte Nova e Uberlândia. Contudo, devido aos alinhamentos técnicos essenciais à homologação dessas iniciativas — que envolvem a tramitação entre os setores responsáveis e a Rede Restaura JR —não foi possível concluir a implementação oficial no período de referência. Projetos em fase de formalização: </w:t>
            </w:r>
          </w:p>
          <w:p w:rsidR="00760DE1" w:rsidRPr="0087435D" w:rsidRDefault="0087435D">
            <w:pPr>
              <w:spacing w:after="0"/>
              <w:jc w:val="both"/>
              <w:rPr>
                <w:lang w:val="pt-BR"/>
              </w:rPr>
            </w:pPr>
            <w:r w:rsidRPr="0087435D">
              <w:rPr>
                <w:rFonts w:ascii="Calibri" w:hAnsi="Calibri"/>
                <w:sz w:val="20"/>
                <w:lang w:val="pt-BR"/>
              </w:rPr>
              <w:t xml:space="preserve">• Belo Horizonte - Projeto de implantação de aplicação da justiça restaurativa nas Varas de Violência Doméstica e Familiar contra mulher. Eixo: Violência psicológica e conflitos intrafamiliares – processo gerado em 01/07/2025. </w:t>
            </w:r>
          </w:p>
          <w:p w:rsidR="00760DE1" w:rsidRPr="0087435D" w:rsidRDefault="0087435D">
            <w:pPr>
              <w:spacing w:after="0"/>
              <w:jc w:val="both"/>
              <w:rPr>
                <w:lang w:val="pt-BR"/>
              </w:rPr>
            </w:pPr>
            <w:r w:rsidRPr="0087435D">
              <w:rPr>
                <w:rFonts w:ascii="Calibri" w:hAnsi="Calibri"/>
                <w:sz w:val="20"/>
                <w:lang w:val="pt-BR"/>
              </w:rPr>
              <w:t xml:space="preserve">• Brumadinho - Projeto: Caminho de Reconstrução: Encontros Restaurativos para Mulheres em Situação de Violência Doméstica – processo gerado em 06/02/2025. </w:t>
            </w:r>
          </w:p>
          <w:p w:rsidR="00760DE1" w:rsidRPr="0087435D" w:rsidRDefault="0087435D">
            <w:pPr>
              <w:spacing w:after="0"/>
              <w:jc w:val="both"/>
              <w:rPr>
                <w:lang w:val="pt-BR"/>
              </w:rPr>
            </w:pPr>
            <w:r w:rsidRPr="0087435D">
              <w:rPr>
                <w:rFonts w:ascii="Calibri" w:hAnsi="Calibri"/>
                <w:sz w:val="20"/>
                <w:lang w:val="pt-BR"/>
              </w:rPr>
              <w:t xml:space="preserve">• Governador Valadares - Núcleo de práticas restaurativas da Vara da Infância e Juventude de Governador Valadares/MG – processo gerado em 09/05/2024. </w:t>
            </w:r>
          </w:p>
          <w:p w:rsidR="00760DE1" w:rsidRPr="0087435D" w:rsidRDefault="0087435D">
            <w:pPr>
              <w:spacing w:after="0"/>
              <w:jc w:val="both"/>
              <w:rPr>
                <w:lang w:val="pt-BR"/>
              </w:rPr>
            </w:pPr>
            <w:r w:rsidRPr="0087435D">
              <w:rPr>
                <w:rFonts w:ascii="Calibri" w:hAnsi="Calibri"/>
                <w:sz w:val="20"/>
                <w:lang w:val="pt-BR"/>
              </w:rPr>
              <w:t xml:space="preserve">• Mariana - Projeto – Justiça Restaurativa em Processos envolvendo Violência Doméstica – processo gerado em 25/07/2023. </w:t>
            </w:r>
          </w:p>
          <w:p w:rsidR="00760DE1" w:rsidRPr="0087435D" w:rsidRDefault="0087435D">
            <w:pPr>
              <w:spacing w:after="0"/>
              <w:jc w:val="both"/>
              <w:rPr>
                <w:lang w:val="pt-BR"/>
              </w:rPr>
            </w:pPr>
            <w:r w:rsidRPr="0087435D">
              <w:rPr>
                <w:rFonts w:ascii="Calibri" w:hAnsi="Calibri"/>
                <w:sz w:val="20"/>
                <w:lang w:val="pt-BR"/>
              </w:rPr>
              <w:t>•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5 - PREVENÇÃO DE LITÍGIOS E ADOÇÃO DE SOLUÇÕES CONSENSUAIS PARA OS CONFLITOS</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5.</w:t>
            </w:r>
            <w:r w:rsidRPr="0087435D">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4" w:name="meta_3ª_VICE___PRESIDÊNCIA_4"/>
            <w:bookmarkEnd w:id="64"/>
            <w:r w:rsidRPr="0087435D">
              <w:rPr>
                <w:rFonts w:ascii="Calibri" w:hAnsi="Calibri"/>
                <w:b/>
                <w:sz w:val="18"/>
                <w:lang w:val="pt-BR"/>
              </w:rPr>
              <w:t>TJMG 140</w:t>
            </w:r>
            <w:r w:rsidRPr="0087435D">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jc w:val="center"/>
              <w:rPr>
                <w:lang w:val="pt-BR"/>
              </w:rPr>
            </w:pPr>
            <w:r w:rsidRPr="0087435D">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07</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Em </w:t>
            </w:r>
            <w:proofErr w:type="gramStart"/>
            <w:r w:rsidRPr="0087435D">
              <w:rPr>
                <w:rFonts w:ascii="Calibri" w:hAnsi="Calibri"/>
                <w:sz w:val="20"/>
                <w:lang w:val="pt-BR"/>
              </w:rPr>
              <w:t>2025,  foram</w:t>
            </w:r>
            <w:proofErr w:type="gramEnd"/>
            <w:r w:rsidRPr="0087435D">
              <w:rPr>
                <w:rFonts w:ascii="Calibri" w:hAnsi="Calibri"/>
                <w:sz w:val="20"/>
                <w:lang w:val="pt-BR"/>
              </w:rPr>
              <w:t xml:space="preserve"> realizados 97 Círculos de Construção de Paz: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Janeiro</w:t>
            </w:r>
            <w:proofErr w:type="gramEnd"/>
            <w:r w:rsidRPr="0087435D">
              <w:rPr>
                <w:rFonts w:ascii="Calibri" w:hAnsi="Calibri"/>
                <w:sz w:val="20"/>
                <w:lang w:val="pt-BR"/>
              </w:rPr>
              <w:t xml:space="preserve">: 1 Ponte Nova e 1 </w:t>
            </w:r>
            <w:proofErr w:type="spellStart"/>
            <w:r w:rsidRPr="0087435D">
              <w:rPr>
                <w:rFonts w:ascii="Calibri" w:hAnsi="Calibri"/>
                <w:sz w:val="20"/>
                <w:lang w:val="pt-BR"/>
              </w:rPr>
              <w:t>Ceajur</w:t>
            </w:r>
            <w:proofErr w:type="spellEnd"/>
            <w:r w:rsidRPr="0087435D">
              <w:rPr>
                <w:rFonts w:ascii="Calibri" w:hAnsi="Calibri"/>
                <w:sz w:val="20"/>
                <w:lang w:val="pt-BR"/>
              </w:rPr>
              <w:t xml:space="preserve">.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Fevereiro</w:t>
            </w:r>
            <w:proofErr w:type="gramEnd"/>
            <w:r w:rsidRPr="0087435D">
              <w:rPr>
                <w:rFonts w:ascii="Calibri" w:hAnsi="Calibri"/>
                <w:sz w:val="20"/>
                <w:lang w:val="pt-BR"/>
              </w:rPr>
              <w:t xml:space="preserve">: 2 Igarapé, 1 Ponte Nova 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Março</w:t>
            </w:r>
            <w:proofErr w:type="gramEnd"/>
            <w:r w:rsidRPr="0087435D">
              <w:rPr>
                <w:rFonts w:ascii="Calibri" w:hAnsi="Calibri"/>
                <w:sz w:val="20"/>
                <w:lang w:val="pt-BR"/>
              </w:rPr>
              <w:t xml:space="preserve">: 2 Governador Valadares, 2 Ponte Nova e 3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Abril</w:t>
            </w:r>
            <w:proofErr w:type="gramEnd"/>
            <w:r w:rsidRPr="0087435D">
              <w:rPr>
                <w:rFonts w:ascii="Calibri" w:hAnsi="Calibri"/>
                <w:sz w:val="20"/>
                <w:lang w:val="pt-BR"/>
              </w:rPr>
              <w:t xml:space="preserve">: 1 Araxá, 3 Igarapé, 1 </w:t>
            </w:r>
            <w:proofErr w:type="spellStart"/>
            <w:r w:rsidRPr="0087435D">
              <w:rPr>
                <w:rFonts w:ascii="Calibri" w:hAnsi="Calibri"/>
                <w:sz w:val="20"/>
                <w:lang w:val="pt-BR"/>
              </w:rPr>
              <w:t>Ceajur</w:t>
            </w:r>
            <w:proofErr w:type="spellEnd"/>
            <w:r w:rsidRPr="0087435D">
              <w:rPr>
                <w:rFonts w:ascii="Calibri" w:hAnsi="Calibri"/>
                <w:sz w:val="20"/>
                <w:lang w:val="pt-BR"/>
              </w:rPr>
              <w:t xml:space="preserve"> 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Maio</w:t>
            </w:r>
            <w:proofErr w:type="gramEnd"/>
            <w:r w:rsidRPr="0087435D">
              <w:rPr>
                <w:rFonts w:ascii="Calibri" w:hAnsi="Calibri"/>
                <w:sz w:val="20"/>
                <w:lang w:val="pt-BR"/>
              </w:rPr>
              <w:t xml:space="preserve">: 3 Governador Valadares, 2 Igarapé, 1 Itabira, 1 João Monlevade, 2 </w:t>
            </w:r>
            <w:proofErr w:type="spellStart"/>
            <w:r w:rsidRPr="0087435D">
              <w:rPr>
                <w:rFonts w:ascii="Calibri" w:hAnsi="Calibri"/>
                <w:sz w:val="20"/>
                <w:lang w:val="pt-BR"/>
              </w:rPr>
              <w:t>Ceajur</w:t>
            </w:r>
            <w:proofErr w:type="spellEnd"/>
            <w:r w:rsidRPr="0087435D">
              <w:rPr>
                <w:rFonts w:ascii="Calibri" w:hAnsi="Calibri"/>
                <w:sz w:val="20"/>
                <w:lang w:val="pt-BR"/>
              </w:rPr>
              <w:t xml:space="preserv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Junho</w:t>
            </w:r>
            <w:proofErr w:type="gramEnd"/>
            <w:r w:rsidRPr="0087435D">
              <w:rPr>
                <w:rFonts w:ascii="Calibri" w:hAnsi="Calibri"/>
                <w:sz w:val="20"/>
                <w:lang w:val="pt-BR"/>
              </w:rPr>
              <w:t xml:space="preserve">: 1 Araxá, 4 Araguari, 2 Igarapé, 2 Itabira 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Julho</w:t>
            </w:r>
            <w:proofErr w:type="gramEnd"/>
            <w:r w:rsidRPr="0087435D">
              <w:rPr>
                <w:rFonts w:ascii="Calibri" w:hAnsi="Calibri"/>
                <w:sz w:val="20"/>
                <w:lang w:val="pt-BR"/>
              </w:rPr>
              <w:t xml:space="preserve">: 6 Araguari, 3 Araxá e 1 </w:t>
            </w:r>
            <w:proofErr w:type="spellStart"/>
            <w:r w:rsidRPr="0087435D">
              <w:rPr>
                <w:rFonts w:ascii="Calibri" w:hAnsi="Calibri"/>
                <w:sz w:val="20"/>
                <w:lang w:val="pt-BR"/>
              </w:rPr>
              <w:t>Ceajur</w:t>
            </w:r>
            <w:proofErr w:type="spellEnd"/>
            <w:r w:rsidRPr="0087435D">
              <w:rPr>
                <w:rFonts w:ascii="Calibri" w:hAnsi="Calibri"/>
                <w:sz w:val="20"/>
                <w:lang w:val="pt-BR"/>
              </w:rPr>
              <w:t xml:space="preserve">.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Agosto</w:t>
            </w:r>
            <w:proofErr w:type="gramEnd"/>
            <w:r w:rsidRPr="0087435D">
              <w:rPr>
                <w:rFonts w:ascii="Calibri" w:hAnsi="Calibri"/>
                <w:sz w:val="20"/>
                <w:lang w:val="pt-BR"/>
              </w:rPr>
              <w:t xml:space="preserve">: 4 Araxá, 3 Araguari, 1 Viçosa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Setembro: 2 Araxá </w:t>
            </w:r>
            <w:proofErr w:type="gramStart"/>
            <w:r w:rsidRPr="0087435D">
              <w:rPr>
                <w:rFonts w:ascii="Calibri" w:hAnsi="Calibri"/>
                <w:sz w:val="20"/>
                <w:lang w:val="pt-BR"/>
              </w:rPr>
              <w:t>e  2</w:t>
            </w:r>
            <w:proofErr w:type="gramEnd"/>
            <w:r w:rsidRPr="0087435D">
              <w:rPr>
                <w:rFonts w:ascii="Calibri" w:hAnsi="Calibri"/>
                <w:sz w:val="20"/>
                <w:lang w:val="pt-BR"/>
              </w:rPr>
              <w:t xml:space="preserve">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Outubro</w:t>
            </w:r>
            <w:proofErr w:type="gramEnd"/>
            <w:r w:rsidRPr="0087435D">
              <w:rPr>
                <w:rFonts w:ascii="Calibri" w:hAnsi="Calibri"/>
                <w:sz w:val="20"/>
                <w:lang w:val="pt-BR"/>
              </w:rPr>
              <w:t xml:space="preserve">: 2 Araguari, 2 Araxá, 1 </w:t>
            </w:r>
            <w:proofErr w:type="spellStart"/>
            <w:r w:rsidRPr="0087435D">
              <w:rPr>
                <w:rFonts w:ascii="Calibri" w:hAnsi="Calibri"/>
                <w:sz w:val="20"/>
                <w:lang w:val="pt-BR"/>
              </w:rPr>
              <w:t>Ceajur</w:t>
            </w:r>
            <w:proofErr w:type="spellEnd"/>
            <w:r w:rsidRPr="0087435D">
              <w:rPr>
                <w:rFonts w:ascii="Calibri" w:hAnsi="Calibri"/>
                <w:sz w:val="20"/>
                <w:lang w:val="pt-BR"/>
              </w:rPr>
              <w:t xml:space="preserve"> 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Novembro</w:t>
            </w:r>
            <w:proofErr w:type="gramEnd"/>
            <w:r w:rsidRPr="0087435D">
              <w:rPr>
                <w:rFonts w:ascii="Calibri" w:hAnsi="Calibri"/>
                <w:sz w:val="20"/>
                <w:lang w:val="pt-BR"/>
              </w:rPr>
              <w:t xml:space="preserve">: 4 Araguari, 4 Ponte Nova, 1 Araxá e 2 no âmbito do projeto trabalhadores. </w:t>
            </w:r>
          </w:p>
          <w:p w:rsidR="00760DE1" w:rsidRPr="0087435D" w:rsidRDefault="0087435D">
            <w:pPr>
              <w:spacing w:after="0"/>
              <w:jc w:val="both"/>
              <w:rPr>
                <w:lang w:val="pt-BR"/>
              </w:rPr>
            </w:pPr>
            <w:r w:rsidRPr="0087435D">
              <w:rPr>
                <w:rFonts w:ascii="Calibri" w:hAnsi="Calibri"/>
                <w:sz w:val="20"/>
                <w:lang w:val="pt-BR"/>
              </w:rPr>
              <w:t xml:space="preserve">• </w:t>
            </w:r>
            <w:proofErr w:type="gramStart"/>
            <w:r w:rsidRPr="0087435D">
              <w:rPr>
                <w:rFonts w:ascii="Calibri" w:hAnsi="Calibri"/>
                <w:sz w:val="20"/>
                <w:lang w:val="pt-BR"/>
              </w:rPr>
              <w:t>Dezembro</w:t>
            </w:r>
            <w:proofErr w:type="gramEnd"/>
            <w:r w:rsidRPr="0087435D">
              <w:rPr>
                <w:rFonts w:ascii="Calibri" w:hAnsi="Calibri"/>
                <w:sz w:val="20"/>
                <w:lang w:val="pt-BR"/>
              </w:rPr>
              <w:t xml:space="preserve">: 3 Araxá, 3 Ponte Nova, 1 Araguari e 2 no âmbito do projeto trabalhadores. Os círculos de trabalhadores é um projeto de círculos </w:t>
            </w:r>
            <w:proofErr w:type="spellStart"/>
            <w:r w:rsidRPr="0087435D">
              <w:rPr>
                <w:rFonts w:ascii="Calibri" w:hAnsi="Calibri"/>
                <w:sz w:val="20"/>
                <w:lang w:val="pt-BR"/>
              </w:rPr>
              <w:t>onlines</w:t>
            </w:r>
            <w:proofErr w:type="spellEnd"/>
            <w:r w:rsidRPr="0087435D">
              <w:rPr>
                <w:rFonts w:ascii="Calibri" w:hAnsi="Calibri"/>
                <w:sz w:val="20"/>
                <w:lang w:val="pt-BR"/>
              </w:rPr>
              <w:t>.</w:t>
            </w:r>
          </w:p>
        </w:tc>
      </w:tr>
    </w:tbl>
    <w:p w:rsidR="00760DE1" w:rsidRPr="0087435D" w:rsidRDefault="00760DE1">
      <w:pPr>
        <w:rPr>
          <w:lang w:val="pt-BR"/>
        </w:rPr>
        <w:sectPr w:rsidR="00760DE1" w:rsidRPr="0087435D">
          <w:headerReference w:type="default" r:id="rId25"/>
          <w:footerReference w:type="default" r:id="rId26"/>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3.12</w:t>
            </w:r>
            <w:r w:rsidRPr="0087435D">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5" w:name="meta_CORREGEDORIA_0"/>
            <w:bookmarkEnd w:id="65"/>
            <w:r w:rsidRPr="0087435D">
              <w:rPr>
                <w:rFonts w:ascii="Calibri" w:hAnsi="Calibri"/>
                <w:b/>
                <w:sz w:val="18"/>
                <w:lang w:val="pt-BR"/>
              </w:rPr>
              <w:t>TJMG 10</w:t>
            </w:r>
            <w:r w:rsidRPr="0087435D">
              <w:rPr>
                <w:rFonts w:ascii="Calibri" w:hAnsi="Calibri"/>
                <w:sz w:val="18"/>
                <w:lang w:val="pt-BR"/>
              </w:rPr>
              <w:t xml:space="preserve"> - Reduzir, até 31/12/2025, em 12%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65,1%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Em dezembro de 2025, apurou-se a redução de 65,1% dos mandados judiciais em atraso na Primeira Instância há mais de 30 (trinta) dias, em relação a dezembro de 2024 (redução de 56.524 para 19.742 mandados no período). A meta foi alcançada, pois era esperada uma redução de, pelo menos, 12% no ano. Visando o alcance da meta, a Gerência de Mandados (GEMAN) promoveu cooperações entre oficiais de justiça em comarcas que possuíam maior número de mandados judicias em atraso ou maior volume de mandados judiciais a serem cumpridos. Durante o ano de 2025, ocorreram cooperações em: Paraguaçu, Itabirito, Sabará, Mariana, Águas Formosas, Caeté, Ouro Branco e Matozinhos. Adicionalmente, estão sendo enviados, de forma automática, relatórios gerenciais aos Diretores de Foro, a partir do Painel de Mandados Distribuídos e Redistribuídos, informando, por exemplo, os mandados que estiverem próximos ao vencimento ou atrasados. Além disso, foi instituído o projeto piloto “Cooperação de Oficiais de Justiça na Busca e Restrições de Bens – CBRB”. De acordo com a Portaria conjunta 1664/PR/2025, que institui o projeto piloto, a cooperação foi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9"/>
        <w:gridCol w:w="4628"/>
        <w:gridCol w:w="1411"/>
        <w:gridCol w:w="1301"/>
        <w:gridCol w:w="1078"/>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3.61</w:t>
            </w:r>
            <w:r w:rsidRPr="0087435D">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6" w:name="meta_CORREGEDORIA_1"/>
            <w:bookmarkEnd w:id="66"/>
            <w:r w:rsidRPr="0087435D">
              <w:rPr>
                <w:rFonts w:ascii="Calibri" w:hAnsi="Calibri"/>
                <w:b/>
                <w:sz w:val="18"/>
                <w:lang w:val="pt-BR"/>
              </w:rPr>
              <w:t>TJMG 141</w:t>
            </w:r>
            <w:r w:rsidRPr="0087435D">
              <w:rPr>
                <w:rFonts w:ascii="Calibri" w:hAnsi="Calibri"/>
                <w:sz w:val="18"/>
                <w:lang w:val="pt-BR"/>
              </w:rPr>
              <w:t xml:space="preserve"> - Virtualizar, em 2025, o acervo físico de inquéritos policiais em 100% (cem por cento) das comarcas do Estado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83,6%</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92</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Até 31/12/2025, foram virtualizados 404.612 inquéritos, de um total de 483.887 passíveis de virtualização, o que corresponde à 83,6% de execução da meta. Analisando o resultado por região da Corregedoria, observa-se que: na 1ª Região houve a virtualização de 97,4% dos inquéritos policiais; na 2ª Região, 91,1%; na 3ª região, 90,5%; na 4ª região, 58,8%; na 5ª região, 82,9% e na 6ª região, 76,6%. O não alcance da meta em 2025 se deve, sobretudo, à suspensão parcial do fluxo estabelecido para o recolhimento dos inquéritos nas comarcas e delegacias de Minas Gerais, que ocorreu de agosto a outubro de 2025 para saneamento de diversos desafios de ordem técnica e logística enfrentados no processo de virtualização dos inquéritos. Entre os desafios, destacam-se: necessidade de ajustes nas automações utilizadas no processamento e no envio dos documentos digitalizados, as inconsistências na validação de dados entre os autos físicos e o Sistema de Informações Estratégicas do Judiciário – SIJUD, bem como o acúmulo temporário de inquéritos físicos no NUVIR. Destaca-se que não houve interrupção nas comarcas em que havia previsão de designação de juiz de direito auxiliar para atuação como Juiz das Garantias nos procedimentos investigatórios, inclusive naqueles já em andamento. Em contraponto aos fatores que impactaram negativamente o cumprimento da meta, registra-se que a baixa de inquéritos pelas comarcas, em razão de prescrição ou outras hipóteses legais, alcançou 18,3% do acervo em 08/01/2026, produzindo efeito positivo ao reduzir o quantitativo de inquéritos passíveis de virtualização. Além disso, destaca-se o desenvolvimento de um painel de monitoramento que possibilitou acompanhar a evolução do projeto. Há expectativa de virtualização integral dos inquéritos até junho de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3.62</w:t>
            </w:r>
            <w:r w:rsidRPr="0087435D">
              <w:rPr>
                <w:rFonts w:ascii="Calibri" w:hAnsi="Calibri"/>
                <w:sz w:val="18"/>
                <w:lang w:val="pt-BR"/>
              </w:rPr>
              <w:t xml:space="preserve"> - Taxa de expansão do </w:t>
            </w:r>
            <w:proofErr w:type="spellStart"/>
            <w:r w:rsidRPr="0087435D">
              <w:rPr>
                <w:rFonts w:ascii="Calibri" w:hAnsi="Calibri"/>
                <w:sz w:val="18"/>
                <w:lang w:val="pt-BR"/>
              </w:rPr>
              <w:t>Pje</w:t>
            </w:r>
            <w:proofErr w:type="spellEnd"/>
            <w:r w:rsidRPr="0087435D">
              <w:rPr>
                <w:rFonts w:ascii="Calibri" w:hAnsi="Calibri"/>
                <w:sz w:val="18"/>
                <w:lang w:val="pt-BR"/>
              </w:rPr>
              <w:t xml:space="preserv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7" w:name="meta_CORREGEDORIA_2"/>
            <w:bookmarkEnd w:id="67"/>
            <w:r w:rsidRPr="0087435D">
              <w:rPr>
                <w:rFonts w:ascii="Calibri" w:hAnsi="Calibri"/>
                <w:b/>
                <w:sz w:val="18"/>
                <w:lang w:val="pt-BR"/>
              </w:rPr>
              <w:t>TJMG 142</w:t>
            </w:r>
            <w:r w:rsidRPr="0087435D">
              <w:rPr>
                <w:rFonts w:ascii="Calibri" w:hAnsi="Calibri"/>
                <w:sz w:val="18"/>
                <w:lang w:val="pt-BR"/>
              </w:rPr>
              <w:t xml:space="preserve"> - Expandir o PJE para a classe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92</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Ainda no 1º semestre de 2025, o </w:t>
            </w:r>
            <w:proofErr w:type="spellStart"/>
            <w:r w:rsidRPr="0087435D">
              <w:rPr>
                <w:rFonts w:ascii="Calibri" w:hAnsi="Calibri"/>
                <w:sz w:val="20"/>
                <w:lang w:val="pt-BR"/>
              </w:rPr>
              <w:t>PJe</w:t>
            </w:r>
            <w:proofErr w:type="spellEnd"/>
            <w:r w:rsidRPr="0087435D">
              <w:rPr>
                <w:rFonts w:ascii="Calibri" w:hAnsi="Calibri"/>
                <w:sz w:val="20"/>
                <w:lang w:val="pt-BR"/>
              </w:rPr>
              <w:t xml:space="preserv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3.63</w:t>
            </w:r>
            <w:r w:rsidRPr="0087435D">
              <w:rPr>
                <w:rFonts w:ascii="Calibri" w:hAnsi="Calibri"/>
                <w:sz w:val="18"/>
                <w:lang w:val="pt-BR"/>
              </w:rPr>
              <w:t xml:space="preserve"> - Taxa de redução de processos conclusos para Sentença, Decisão e Despacho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8" w:name="meta_CORREGEDORIA_3"/>
            <w:bookmarkEnd w:id="68"/>
            <w:r w:rsidRPr="0087435D">
              <w:rPr>
                <w:rFonts w:ascii="Calibri" w:hAnsi="Calibri"/>
                <w:b/>
                <w:sz w:val="18"/>
                <w:lang w:val="pt-BR"/>
              </w:rPr>
              <w:t>TJMG 146</w:t>
            </w:r>
            <w:r w:rsidRPr="0087435D">
              <w:rPr>
                <w:rFonts w:ascii="Calibri" w:hAnsi="Calibri"/>
                <w:sz w:val="18"/>
                <w:lang w:val="pt-BR"/>
              </w:rPr>
              <w:t xml:space="preserve"> - Reduzir, até 31/12/2025, em 10% (dez por cento) o estoque dos processos conclusos para Sentença, Decisão e Despacho há mais de 120 (cento e vinte)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30,4%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Considerando a nova perspectiva para a meta, em dezembro de 2025 apurou-se um montante de 90.012 processos conclusos para sentença, decisão e despacho na Primeira Instância, há mais de 120 dias sem motivo legal, o que corresponde a uma redução de 30,4% do estoque dos processos em relação a dezembro de 2024 (129.351 processos). A meta foi alcançada, pois era esperada uma redução de 10% no período. Para viabilizar o alcance da referida meta, a DIRCOR - Diretoria Executiva da Atividade </w:t>
            </w:r>
            <w:proofErr w:type="spellStart"/>
            <w:r w:rsidRPr="0087435D">
              <w:rPr>
                <w:rFonts w:ascii="Calibri" w:hAnsi="Calibri"/>
                <w:sz w:val="20"/>
                <w:lang w:val="pt-BR"/>
              </w:rPr>
              <w:t>Correicional</w:t>
            </w:r>
            <w:proofErr w:type="spellEnd"/>
            <w:r w:rsidRPr="0087435D">
              <w:rPr>
                <w:rFonts w:ascii="Calibri" w:hAnsi="Calibri"/>
                <w:sz w:val="20"/>
                <w:lang w:val="pt-BR"/>
              </w:rPr>
              <w:t xml:space="preserve">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3.64</w:t>
            </w:r>
            <w:r w:rsidRPr="0087435D">
              <w:rPr>
                <w:rFonts w:ascii="Calibri" w:hAnsi="Calibri"/>
                <w:sz w:val="18"/>
                <w:lang w:val="pt-BR"/>
              </w:rPr>
              <w:t xml:space="preserve"> - Taxa de redução de processos paralisados em secretaria sem motivo legal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69" w:name="meta_CORREGEDORIA_4"/>
            <w:bookmarkEnd w:id="69"/>
            <w:r w:rsidRPr="0087435D">
              <w:rPr>
                <w:rFonts w:ascii="Calibri" w:hAnsi="Calibri"/>
                <w:b/>
                <w:sz w:val="18"/>
                <w:lang w:val="pt-BR"/>
              </w:rPr>
              <w:t>TJMG 147</w:t>
            </w:r>
            <w:r w:rsidRPr="0087435D">
              <w:rPr>
                <w:rFonts w:ascii="Calibri" w:hAnsi="Calibri"/>
                <w:sz w:val="18"/>
                <w:lang w:val="pt-BR"/>
              </w:rPr>
              <w:t xml:space="preserve"> - Reduzir, até 31/12/2025, em 30% (dez por cento) o estoque dos processos paralisados sem motivo legal, há mais de 120 (cento e vinte) dias, em secretaria 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21%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Considerando a nova perspectiva para a meta, em dezembro de 2025 apurou-se um montante de 154.504 processos paralisados em secretaria na Primeira Instância há mais de 120 dias sem motivo legal, o que corresponde a uma redução de 21% do estoque dos processos em relação a dezembro de 2024 (195.632 processos). Era esperada uma redução de 30% até o final de 2025. Embora a meta não tenha sido alcançada, vale destacar que, para viabilizar o alcance da referida meta, a DIRCOR - Diretoria Executiva da Atividade </w:t>
            </w:r>
            <w:proofErr w:type="spellStart"/>
            <w:r w:rsidRPr="0087435D">
              <w:rPr>
                <w:rFonts w:ascii="Calibri" w:hAnsi="Calibri"/>
                <w:sz w:val="20"/>
                <w:lang w:val="pt-BR"/>
              </w:rPr>
              <w:t>Correicional</w:t>
            </w:r>
            <w:proofErr w:type="spellEnd"/>
            <w:r w:rsidRPr="0087435D">
              <w:rPr>
                <w:rFonts w:ascii="Calibri" w:hAnsi="Calibri"/>
                <w:sz w:val="20"/>
                <w:lang w:val="pt-BR"/>
              </w:rPr>
              <w:t xml:space="preserve">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3.65</w:t>
            </w:r>
            <w:r w:rsidRPr="0087435D">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70" w:name="meta_CORREGEDORIA_5"/>
            <w:bookmarkEnd w:id="70"/>
            <w:r w:rsidRPr="0087435D">
              <w:rPr>
                <w:rFonts w:ascii="Calibri" w:hAnsi="Calibri"/>
                <w:b/>
                <w:sz w:val="18"/>
                <w:lang w:val="pt-BR"/>
              </w:rPr>
              <w:t>TJMG 148</w:t>
            </w:r>
            <w:r w:rsidRPr="0087435D">
              <w:rPr>
                <w:rFonts w:ascii="Calibri" w:hAnsi="Calibri"/>
                <w:sz w:val="18"/>
                <w:lang w:val="pt-BR"/>
              </w:rPr>
              <w:t xml:space="preserve"> - Reduzir, até 31/12/2025, em 4% (quatro por cento), o tempo médio de tramitação, em dias, dos feitos do acervo gerenciável, a partir da data de distribuição até a data da baixa,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15,1%</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Redução de 15,1% do tempo médio de tramitação dos feitos do acervo gerenciável, a partir da data de distribuição até a data da baixa, em relação a dezembro de 2024 (redução de 802 dias para 681 no período). A meta foi alcançada, pois era esperada uma redução de, pelo menos, 4% no ano. Para viabilizar o alcance da referida meta, a DIRCOR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Essa estratégia foi adotada para o impulsionar os processos paralisados há mais de 120 dias sem motivo legal.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3 - AGILIDADE E PRODUTIVIDADE NA PRESTAÇÃO JURISDICIONAL</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3.66</w:t>
            </w:r>
            <w:r w:rsidRPr="0087435D">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71" w:name="meta_CORREGEDORIA_6"/>
            <w:bookmarkEnd w:id="71"/>
            <w:r w:rsidRPr="0087435D">
              <w:rPr>
                <w:rFonts w:ascii="Calibri" w:hAnsi="Calibri"/>
                <w:b/>
                <w:sz w:val="18"/>
                <w:lang w:val="pt-BR"/>
              </w:rPr>
              <w:t>TJMG 149</w:t>
            </w:r>
            <w:r w:rsidRPr="0087435D">
              <w:rPr>
                <w:rFonts w:ascii="Calibri" w:hAnsi="Calibri"/>
                <w:sz w:val="18"/>
                <w:lang w:val="pt-BR"/>
              </w:rPr>
              <w:t xml:space="preserve"> - Reduzir, até 31/12/2025, 50% (cinquenta por cento) dos feitos em que possuam réus falecidos.</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05</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Em dezembro de 2025, o volume de feitos com réus falecidos registrou um aumento de 9,2%, distanciando-se da redução esperada de, no mínimo, 50% em relação ao ano anterior. O acervo, que era de 4.035 processos em dezembro de 2024, subiu para 4.405 ao final de 2025. Ao longo do ano, foram envidados esforços para o cumprimento da referida meta. Em decorrência de parceria entre Tribunal de Justiça de Minas Gerais (TJMG) e Tribunal Regional Eleitoral (TRE), periodicamente o TRE envia ao TJMG a listagem de pessoas falecidas, para que seja avaliada a possibilidade de baixar os processos judicias com falecimento do imputado como autor do fato (réus falecidos). Em 2025, foi desenvolvido um robô que automatizará a identificação da certidão de óbito do réu falecido e o Cartório de Registro Civil (CRC) em que foi registrada, desonerando o juiz dessa atividade e otimizando os trâmites necessários ao encerramento do processo. Contudo, ainda consta pendente o cadastramento dos usuários para atuação no referido robô.</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9.1</w:t>
            </w:r>
            <w:r w:rsidRPr="0087435D">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72" w:name="meta_CORREGEDORIA_7"/>
            <w:bookmarkEnd w:id="72"/>
            <w:r w:rsidRPr="0087435D">
              <w:rPr>
                <w:rFonts w:ascii="Calibri" w:hAnsi="Calibri"/>
                <w:b/>
                <w:sz w:val="18"/>
                <w:lang w:val="pt-BR"/>
              </w:rPr>
              <w:t>TJMG 40</w:t>
            </w:r>
            <w:r w:rsidRPr="0087435D">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32</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11</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Em 2025, foram homologadas 32 portarias instituindo o Desdobramento do Planejamento Estratégico nas seguintes Unidades Judiciárias e, com isso, a meta foi superada. Unidades Judiciárias: Belo Horizonte - 10ª Vara de Família (janeiro/2025) Lavras - 2ª Vara Criminal, da Infância e Juventude e Execuções Fiscais (Fevereiro/2025); Governador Valadares - 2ª Vara Cível (Fevereiro/2025) Araxá -2ª Vara Cível (março/2025) Araxá - 2ª Vara Criminal e da </w:t>
            </w:r>
            <w:proofErr w:type="spellStart"/>
            <w:r w:rsidRPr="0087435D">
              <w:rPr>
                <w:rFonts w:ascii="Calibri" w:hAnsi="Calibri"/>
                <w:sz w:val="20"/>
                <w:lang w:val="pt-BR"/>
              </w:rPr>
              <w:t>Infancia</w:t>
            </w:r>
            <w:proofErr w:type="spellEnd"/>
            <w:r w:rsidRPr="0087435D">
              <w:rPr>
                <w:rFonts w:ascii="Calibri" w:hAnsi="Calibri"/>
                <w:sz w:val="20"/>
                <w:lang w:val="pt-BR"/>
              </w:rPr>
              <w:t xml:space="preserve"> e Juventude (março/2025) Ipatinga - 2ª Vara Cível (março/2025) Nova Lima - 2ª Vara Criminal e de Execuções Penais (março/2025) </w:t>
            </w:r>
            <w:proofErr w:type="spellStart"/>
            <w:r w:rsidRPr="0087435D">
              <w:rPr>
                <w:rFonts w:ascii="Calibri" w:hAnsi="Calibri"/>
                <w:sz w:val="20"/>
                <w:lang w:val="pt-BR"/>
              </w:rPr>
              <w:t>Pirapetinga</w:t>
            </w:r>
            <w:proofErr w:type="spellEnd"/>
            <w:r w:rsidRPr="0087435D">
              <w:rPr>
                <w:rFonts w:ascii="Calibri" w:hAnsi="Calibri"/>
                <w:sz w:val="20"/>
                <w:lang w:val="pt-BR"/>
              </w:rPr>
              <w:t xml:space="preserve"> - Vara Única (abril/2025) Extrema - 2ª Vara </w:t>
            </w:r>
            <w:proofErr w:type="spellStart"/>
            <w:r w:rsidRPr="0087435D">
              <w:rPr>
                <w:rFonts w:ascii="Calibri" w:hAnsi="Calibri"/>
                <w:sz w:val="20"/>
                <w:lang w:val="pt-BR"/>
              </w:rPr>
              <w:t>Civel</w:t>
            </w:r>
            <w:proofErr w:type="spellEnd"/>
            <w:r w:rsidRPr="0087435D">
              <w:rPr>
                <w:rFonts w:ascii="Calibri" w:hAnsi="Calibri"/>
                <w:sz w:val="20"/>
                <w:lang w:val="pt-BR"/>
              </w:rPr>
              <w:t xml:space="preserve">, Criminal e da </w:t>
            </w:r>
            <w:proofErr w:type="spellStart"/>
            <w:r w:rsidRPr="0087435D">
              <w:rPr>
                <w:rFonts w:ascii="Calibri" w:hAnsi="Calibri"/>
                <w:sz w:val="20"/>
                <w:lang w:val="pt-BR"/>
              </w:rPr>
              <w:t>Juventudade</w:t>
            </w:r>
            <w:proofErr w:type="spellEnd"/>
            <w:r w:rsidRPr="0087435D">
              <w:rPr>
                <w:rFonts w:ascii="Calibri" w:hAnsi="Calibri"/>
                <w:sz w:val="20"/>
                <w:lang w:val="pt-BR"/>
              </w:rPr>
              <w:t xml:space="preserve"> (abril/2025) Ipatinga - 2ª Vara Criminal (maio/2025) Corinto - Vara Única (Segundo Ciclo de DPE) (maio/2025) </w:t>
            </w:r>
            <w:proofErr w:type="spellStart"/>
            <w:r w:rsidRPr="0087435D">
              <w:rPr>
                <w:rFonts w:ascii="Calibri" w:hAnsi="Calibri"/>
                <w:sz w:val="20"/>
                <w:lang w:val="pt-BR"/>
              </w:rPr>
              <w:t>Catagueses</w:t>
            </w:r>
            <w:proofErr w:type="spellEnd"/>
            <w:r w:rsidRPr="0087435D">
              <w:rPr>
                <w:rFonts w:ascii="Calibri" w:hAnsi="Calibri"/>
                <w:sz w:val="20"/>
                <w:lang w:val="pt-BR"/>
              </w:rPr>
              <w:t xml:space="preserve"> - Vara de Família, da Infância e da Juventude e de Precatórias (junho/2025) Contagem - 6ª Vara Cível (Segundo Ciclo de DPE) (junho/2025) Pedra Azul - 1ª Vara Cível, Criminal e de Execuções Penais (junho/2025) Patos de Minas - 3ª Vara Cível (julho/2025) Ubá - 2ª Vara Cível (julho/2025) Belo Horizonte - 1ª Vara da Fazenda Pública e Autarquias (Segundo Ciclo de DPE) (agosto/2025) Jequitinhonha -Vara Única (Segundo Ciclo de DPE) (agosto/2025) Mar de Espanha - Vara Única (agosto/2025) Monte Santo de Minas - Vara Única (agosto/2025) Betim -  2ª Vara Criminal (setembro/2025) Contagem - 2ª Vara Empresarial de Fazenda pública e Registros Públicos (setembro/2025) Juiz de Fora – 1ª Vara de </w:t>
            </w:r>
            <w:proofErr w:type="spellStart"/>
            <w:r w:rsidRPr="0087435D">
              <w:rPr>
                <w:rFonts w:ascii="Calibri" w:hAnsi="Calibri"/>
                <w:sz w:val="20"/>
                <w:lang w:val="pt-BR"/>
              </w:rPr>
              <w:t>Familia</w:t>
            </w:r>
            <w:proofErr w:type="spellEnd"/>
            <w:r w:rsidRPr="0087435D">
              <w:rPr>
                <w:rFonts w:ascii="Calibri" w:hAnsi="Calibri"/>
                <w:sz w:val="20"/>
                <w:lang w:val="pt-BR"/>
              </w:rPr>
              <w:t xml:space="preserve"> (setembro/2025) Nova Serrana - 2ª Vara Cível (setembro/2025) Nova Serrana - 1ª Vara Cível (outubro/2025) Francisco de Sá (Segundo Ciclo de DPE) - Vara Única (outubro/2025) </w:t>
            </w:r>
            <w:proofErr w:type="spellStart"/>
            <w:r w:rsidRPr="0087435D">
              <w:rPr>
                <w:rFonts w:ascii="Calibri" w:hAnsi="Calibri"/>
                <w:sz w:val="20"/>
                <w:lang w:val="pt-BR"/>
              </w:rPr>
              <w:t>Brazópolis</w:t>
            </w:r>
            <w:proofErr w:type="spellEnd"/>
            <w:r w:rsidRPr="0087435D">
              <w:rPr>
                <w:rFonts w:ascii="Calibri" w:hAnsi="Calibri"/>
                <w:sz w:val="20"/>
                <w:lang w:val="pt-BR"/>
              </w:rPr>
              <w:t xml:space="preserve"> - Vara Única (outubro/2025) Monte Carmelo - 2º Vara Cível, Criminal e de Execução Penal (novembro/2025) Pará de Minas - 1ª Vara </w:t>
            </w:r>
            <w:proofErr w:type="spellStart"/>
            <w:r w:rsidRPr="0087435D">
              <w:rPr>
                <w:rFonts w:ascii="Calibri" w:hAnsi="Calibri"/>
                <w:sz w:val="20"/>
                <w:lang w:val="pt-BR"/>
              </w:rPr>
              <w:t>Civel</w:t>
            </w:r>
            <w:proofErr w:type="spellEnd"/>
            <w:r w:rsidRPr="0087435D">
              <w:rPr>
                <w:rFonts w:ascii="Calibri" w:hAnsi="Calibri"/>
                <w:sz w:val="20"/>
                <w:lang w:val="pt-BR"/>
              </w:rPr>
              <w:t xml:space="preserve"> (novembro/2025) Turmalina - Vara Única (novembro 2025) Santa Bárbara (2° Ciclo de DPE) - Vara Única (dezembro/2025) Areado - Vara Única (dezembro/2025) No entanto, devido à implementação do sistema </w:t>
            </w:r>
            <w:proofErr w:type="spellStart"/>
            <w:r w:rsidRPr="0087435D">
              <w:rPr>
                <w:rFonts w:ascii="Calibri" w:hAnsi="Calibri"/>
                <w:sz w:val="20"/>
                <w:lang w:val="pt-BR"/>
              </w:rPr>
              <w:t>eproc</w:t>
            </w:r>
            <w:proofErr w:type="spellEnd"/>
            <w:r w:rsidRPr="0087435D">
              <w:rPr>
                <w:rFonts w:ascii="Calibri" w:hAnsi="Calibri"/>
                <w:sz w:val="20"/>
                <w:lang w:val="pt-BR"/>
              </w:rPr>
              <w:t xml:space="preserve"> na comarca de Belo Horizonte, o cronograma de implantações dos desdobramentos na Região 1 foi pontualmente suspenso e está previsto para ser retomado em 2026.</w:t>
            </w:r>
          </w:p>
        </w:tc>
      </w:tr>
    </w:tbl>
    <w:p w:rsidR="00760DE1" w:rsidRPr="0087435D" w:rsidRDefault="0087435D">
      <w:pPr>
        <w:rPr>
          <w:lang w:val="pt-BR"/>
        </w:rPr>
      </w:pPr>
      <w:r w:rsidRPr="0087435D">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760DE1" w:rsidRPr="0087435D">
        <w:trPr>
          <w:trHeight w:val="584"/>
        </w:trPr>
        <w:tc>
          <w:tcPr>
            <w:tcW w:w="16157" w:type="dxa"/>
            <w:gridSpan w:val="7"/>
            <w:tcBorders>
              <w:left w:val="single" w:sz="8" w:space="0" w:color="E36C0A"/>
            </w:tcBorders>
            <w:shd w:val="clear" w:color="auto" w:fill="EF6C21"/>
            <w:vAlign w:val="center"/>
          </w:tcPr>
          <w:p w:rsidR="00760DE1" w:rsidRPr="0087435D" w:rsidRDefault="0087435D">
            <w:pPr>
              <w:spacing w:before="200" w:line="240" w:lineRule="auto"/>
              <w:jc w:val="center"/>
              <w:rPr>
                <w:lang w:val="pt-BR"/>
              </w:rPr>
            </w:pPr>
            <w:r w:rsidRPr="0087435D">
              <w:rPr>
                <w:rFonts w:ascii="Calibri" w:hAnsi="Calibri"/>
                <w:b/>
                <w:color w:val="FFFFFF"/>
                <w:lang w:val="pt-BR"/>
              </w:rPr>
              <w:lastRenderedPageBreak/>
              <w:t>9 - APRIMORAMENTO DA GESTÃO ADMINISTRATIVA E DA GOVERNANÇA JUDICIÁRIA</w:t>
            </w:r>
          </w:p>
        </w:tc>
      </w:tr>
      <w:tr w:rsidR="00760DE1">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760DE1" w:rsidRDefault="0087435D">
            <w:pPr>
              <w:spacing w:after="0" w:line="240" w:lineRule="auto"/>
              <w:jc w:val="center"/>
            </w:pPr>
            <w:r>
              <w:rPr>
                <w:rFonts w:ascii="Calibri" w:hAnsi="Calibri"/>
                <w:b/>
                <w:color w:val="000000"/>
                <w:sz w:val="20"/>
              </w:rPr>
              <w:t>INICIATIVA(S)</w:t>
            </w:r>
          </w:p>
        </w:tc>
      </w:tr>
      <w:tr w:rsidR="00760DE1">
        <w:tc>
          <w:tcPr>
            <w:tcW w:w="5760"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r w:rsidRPr="0087435D">
              <w:rPr>
                <w:rFonts w:ascii="Calibri" w:hAnsi="Calibri"/>
                <w:b/>
                <w:sz w:val="18"/>
                <w:lang w:val="pt-BR"/>
              </w:rPr>
              <w:t>9.29</w:t>
            </w:r>
            <w:r w:rsidRPr="0087435D">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760DE1" w:rsidRPr="0087435D" w:rsidRDefault="0087435D">
            <w:pPr>
              <w:spacing w:after="0"/>
              <w:rPr>
                <w:lang w:val="pt-BR"/>
              </w:rPr>
            </w:pPr>
            <w:bookmarkStart w:id="73" w:name="meta_CORREGEDORIA_8"/>
            <w:bookmarkEnd w:id="73"/>
            <w:r w:rsidRPr="0087435D">
              <w:rPr>
                <w:rFonts w:ascii="Calibri" w:hAnsi="Calibri"/>
                <w:b/>
                <w:sz w:val="18"/>
                <w:lang w:val="pt-BR"/>
              </w:rPr>
              <w:t>TJMG 129</w:t>
            </w:r>
            <w:r w:rsidRPr="0087435D">
              <w:rPr>
                <w:rFonts w:ascii="Calibri" w:hAnsi="Calibri"/>
                <w:sz w:val="18"/>
                <w:lang w:val="pt-BR"/>
              </w:rPr>
              <w:t xml:space="preserve"> - Executar 100% (cem por cento) das entregas previstas na iniciativa Painel de Gestão Automatizada de Receitas Judiciais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b/>
                <w:sz w:val="18"/>
              </w:rPr>
              <w:t>64%</w:t>
            </w:r>
          </w:p>
        </w:tc>
        <w:tc>
          <w:tcPr>
            <w:tcW w:w="408"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760DE1" w:rsidRDefault="0087435D">
            <w:pPr>
              <w:spacing w:after="0"/>
              <w:jc w:val="center"/>
            </w:pPr>
            <w:r>
              <w:rPr>
                <w:rFonts w:ascii="Calibri" w:hAnsi="Calibri"/>
                <w:sz w:val="18"/>
              </w:rPr>
              <w:t>IE 93</w:t>
            </w:r>
          </w:p>
        </w:tc>
      </w:tr>
      <w:tr w:rsidR="00760DE1" w:rsidRPr="0087435D">
        <w:tc>
          <w:tcPr>
            <w:tcW w:w="16157" w:type="dxa"/>
            <w:gridSpan w:val="7"/>
            <w:tcBorders>
              <w:top w:val="single" w:sz="2" w:space="0" w:color="A6A6A6"/>
              <w:left w:val="single" w:sz="2" w:space="0" w:color="A6A6A6"/>
              <w:bottom w:val="single" w:sz="2" w:space="0" w:color="A6A6A6"/>
              <w:right w:val="single" w:sz="2" w:space="0" w:color="A6A6A6"/>
            </w:tcBorders>
          </w:tcPr>
          <w:p w:rsidR="00760DE1" w:rsidRPr="0087435D" w:rsidRDefault="0087435D">
            <w:pPr>
              <w:spacing w:after="0"/>
              <w:jc w:val="both"/>
              <w:rPr>
                <w:lang w:val="pt-BR"/>
              </w:rPr>
            </w:pPr>
            <w:r w:rsidRPr="0087435D">
              <w:rPr>
                <w:rFonts w:ascii="Calibri" w:hAnsi="Calibri"/>
                <w:b/>
                <w:sz w:val="20"/>
                <w:lang w:val="pt-BR"/>
              </w:rPr>
              <w:t xml:space="preserve">Situação: </w:t>
            </w:r>
            <w:r w:rsidRPr="0087435D">
              <w:rPr>
                <w:rFonts w:ascii="Calibri" w:hAnsi="Calibri"/>
                <w:sz w:val="20"/>
                <w:lang w:val="pt-BR"/>
              </w:rPr>
              <w:t xml:space="preserve">Até 2025, foram executados 64% das atividades necessárias à conclusão do Painel de Gestão Automatizada de Receitas Judiciais, frente ao 100% estimado na meta. </w:t>
            </w:r>
            <w:proofErr w:type="gramStart"/>
            <w:r w:rsidRPr="0087435D">
              <w:rPr>
                <w:rFonts w:ascii="Calibri" w:hAnsi="Calibri"/>
                <w:sz w:val="20"/>
                <w:lang w:val="pt-BR"/>
              </w:rPr>
              <w:t>Os principais fatores que contribuíram para o não alcance</w:t>
            </w:r>
            <w:proofErr w:type="gramEnd"/>
            <w:r w:rsidRPr="0087435D">
              <w:rPr>
                <w:rFonts w:ascii="Calibri" w:hAnsi="Calibri"/>
                <w:sz w:val="20"/>
                <w:lang w:val="pt-BR"/>
              </w:rPr>
              <w:t xml:space="preserve"> da meta estão elencados a seguir. A 2ª etapa, que previa a Expansão do uso do painel para as Comarcas do interior (Módulo Carta Precatória; Módulo Vinculação; Inclusão da Base de dados do Interior.), encontra-se em execução. Embora a primeira versão da ferramenta tenha sido disponibilizada, contemplando a base de dados das unidades do interior e o Módulo de Cartas Precatórias, devido </w:t>
            </w:r>
            <w:proofErr w:type="spellStart"/>
            <w:r w:rsidRPr="0087435D">
              <w:rPr>
                <w:rFonts w:ascii="Calibri" w:hAnsi="Calibri"/>
                <w:sz w:val="20"/>
                <w:lang w:val="pt-BR"/>
              </w:rPr>
              <w:t>a</w:t>
            </w:r>
            <w:proofErr w:type="spellEnd"/>
            <w:r w:rsidRPr="0087435D">
              <w:rPr>
                <w:rFonts w:ascii="Calibri" w:hAnsi="Calibri"/>
                <w:sz w:val="20"/>
                <w:lang w:val="pt-BR"/>
              </w:rPr>
              <w:t xml:space="preserve"> </w:t>
            </w:r>
            <w:proofErr w:type="gramStart"/>
            <w:r w:rsidRPr="0087435D">
              <w:rPr>
                <w:rFonts w:ascii="Calibri" w:hAnsi="Calibri"/>
                <w:sz w:val="20"/>
                <w:lang w:val="pt-BR"/>
              </w:rPr>
              <w:t>alta  complexidade</w:t>
            </w:r>
            <w:proofErr w:type="gramEnd"/>
            <w:r w:rsidRPr="0087435D">
              <w:rPr>
                <w:rFonts w:ascii="Calibri" w:hAnsi="Calibri"/>
                <w:sz w:val="20"/>
                <w:lang w:val="pt-BR"/>
              </w:rPr>
              <w:t xml:space="preserve"> técnica na identificação de pagamentos específicos vinculados aos laudos do Centro de Serviço Social e Psicologia (CESOP), foi necessário realizar um ajuste no cronograma original. Para viabilizar a conclusão desta fase, estão previstas reuniões de alinhamento técnico na primeira quinzena de fevereiro de 2026, visando à definição dos parâmetros finais. Já a 3ª etapa sofreu consideráveis alterações em seu escopo. Nesse contexto, a integração com o sistema </w:t>
            </w:r>
            <w:proofErr w:type="spellStart"/>
            <w:r w:rsidRPr="0087435D">
              <w:rPr>
                <w:rFonts w:ascii="Calibri" w:hAnsi="Calibri"/>
                <w:sz w:val="20"/>
                <w:lang w:val="pt-BR"/>
              </w:rPr>
              <w:t>eproc</w:t>
            </w:r>
            <w:proofErr w:type="spellEnd"/>
            <w:r w:rsidRPr="0087435D">
              <w:rPr>
                <w:rFonts w:ascii="Calibri" w:hAnsi="Calibri"/>
                <w:sz w:val="20"/>
                <w:lang w:val="pt-BR"/>
              </w:rPr>
              <w:t xml:space="preserve"> e os estudos sobre o uso de Inteligência Artificial foram suspensos temporariamente. O primeiro aguarda a implementação do módulo de custas no próprio sistema </w:t>
            </w:r>
            <w:proofErr w:type="spellStart"/>
            <w:r w:rsidRPr="0087435D">
              <w:rPr>
                <w:rFonts w:ascii="Calibri" w:hAnsi="Calibri"/>
                <w:sz w:val="20"/>
                <w:lang w:val="pt-BR"/>
              </w:rPr>
              <w:t>eproc</w:t>
            </w:r>
            <w:proofErr w:type="spellEnd"/>
            <w:r w:rsidRPr="0087435D">
              <w:rPr>
                <w:rFonts w:ascii="Calibri" w:hAnsi="Calibri"/>
                <w:sz w:val="20"/>
                <w:lang w:val="pt-BR"/>
              </w:rPr>
              <w:t xml:space="preserve">, pois os dados requeridos pelo painel são praticamente os mesmos que serão abarcados pelo referido módulo. Além disso, sabe-se que ainda não é possível criar uma parametrização para os itens do art. 24 do Provimento Conjunto n.º 75/2018, uma vez tipos de documentos e eventos existentes no </w:t>
            </w:r>
            <w:proofErr w:type="spellStart"/>
            <w:r w:rsidRPr="0087435D">
              <w:rPr>
                <w:rFonts w:ascii="Calibri" w:hAnsi="Calibri"/>
                <w:sz w:val="20"/>
                <w:lang w:val="pt-BR"/>
              </w:rPr>
              <w:t>eproc</w:t>
            </w:r>
            <w:proofErr w:type="spellEnd"/>
            <w:r w:rsidRPr="0087435D">
              <w:rPr>
                <w:rFonts w:ascii="Calibri" w:hAnsi="Calibri"/>
                <w:sz w:val="20"/>
                <w:lang w:val="pt-BR"/>
              </w:rPr>
              <w:t xml:space="preserve"> ainda passam por alterações e novos estão sendo criados para atender às Tabelas Processuais Unificadas (</w:t>
            </w:r>
            <w:proofErr w:type="spellStart"/>
            <w:r w:rsidRPr="0087435D">
              <w:rPr>
                <w:rFonts w:ascii="Calibri" w:hAnsi="Calibri"/>
                <w:sz w:val="20"/>
                <w:lang w:val="pt-BR"/>
              </w:rPr>
              <w:t>TPUs</w:t>
            </w:r>
            <w:proofErr w:type="spellEnd"/>
            <w:r w:rsidRPr="0087435D">
              <w:rPr>
                <w:rFonts w:ascii="Calibri" w:hAnsi="Calibri"/>
                <w:sz w:val="20"/>
                <w:lang w:val="pt-BR"/>
              </w:rPr>
              <w:t xml:space="preserve">) do CNJ. O segundo foi postergado para um momento em que os dados do </w:t>
            </w:r>
            <w:proofErr w:type="spellStart"/>
            <w:r w:rsidRPr="0087435D">
              <w:rPr>
                <w:rFonts w:ascii="Calibri" w:hAnsi="Calibri"/>
                <w:sz w:val="20"/>
                <w:lang w:val="pt-BR"/>
              </w:rPr>
              <w:t>eproc</w:t>
            </w:r>
            <w:proofErr w:type="spellEnd"/>
            <w:r w:rsidRPr="0087435D">
              <w:rPr>
                <w:rFonts w:ascii="Calibri" w:hAnsi="Calibri"/>
                <w:sz w:val="20"/>
                <w:lang w:val="pt-BR"/>
              </w:rPr>
              <w:t xml:space="preserve"> já estejam consolidados no painel, independentemente da construção do Novo SIJUD, garantindo maior produtividade à análise. Paralelamente, optou-se pelo cancelamento de duas frentes de trabalho: o protótipo para processos baixados do </w:t>
            </w:r>
            <w:proofErr w:type="spellStart"/>
            <w:r w:rsidRPr="0087435D">
              <w:rPr>
                <w:rFonts w:ascii="Calibri" w:hAnsi="Calibri"/>
                <w:sz w:val="20"/>
                <w:lang w:val="pt-BR"/>
              </w:rPr>
              <w:t>PJe</w:t>
            </w:r>
            <w:proofErr w:type="spellEnd"/>
            <w:r w:rsidRPr="0087435D">
              <w:rPr>
                <w:rFonts w:ascii="Calibri" w:hAnsi="Calibri"/>
                <w:sz w:val="20"/>
                <w:lang w:val="pt-BR"/>
              </w:rPr>
              <w:t xml:space="preserve">, visando priorizar o cálculo de custas de processos ativos — que gera benefício direto e imediato aos usuários —, e a integração com o SISCOM. Esta última decisão fundamenta-se no baixo volume de processos físicos remanescentes e na necessidade de concentrar os esforços técnicos da Corregedoria na implantação do sistema </w:t>
            </w:r>
            <w:proofErr w:type="spellStart"/>
            <w:r w:rsidRPr="0087435D">
              <w:rPr>
                <w:rFonts w:ascii="Calibri" w:hAnsi="Calibri"/>
                <w:sz w:val="20"/>
                <w:lang w:val="pt-BR"/>
              </w:rPr>
              <w:t>eproc</w:t>
            </w:r>
            <w:proofErr w:type="spellEnd"/>
            <w:r w:rsidRPr="0087435D">
              <w:rPr>
                <w:rFonts w:ascii="Calibri" w:hAnsi="Calibri"/>
                <w:sz w:val="20"/>
                <w:lang w:val="pt-BR"/>
              </w:rPr>
              <w:t>. Tais ajustes não impedem a retomada de itens específicos, como o protótipo de processos baixados, no ciclo de planejamento de 2026.</w:t>
            </w:r>
          </w:p>
        </w:tc>
      </w:tr>
    </w:tbl>
    <w:p w:rsidR="00760DE1" w:rsidRPr="0087435D" w:rsidRDefault="00760DE1">
      <w:pPr>
        <w:rPr>
          <w:lang w:val="pt-BR"/>
        </w:rPr>
      </w:pPr>
    </w:p>
    <w:sectPr w:rsidR="00760DE1" w:rsidRPr="0087435D" w:rsidSect="00034616">
      <w:headerReference w:type="default" r:id="rId27"/>
      <w:footerReference w:type="default" r:id="rId28"/>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7714" w:rsidRDefault="00F77714">
      <w:pPr>
        <w:spacing w:after="0" w:line="240" w:lineRule="auto"/>
      </w:pPr>
      <w:r>
        <w:separator/>
      </w:r>
    </w:p>
  </w:endnote>
  <w:endnote w:type="continuationSeparator" w:id="0">
    <w:p w:rsidR="00F77714" w:rsidRDefault="00F77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Default="0087435D">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Default="0087435D">
    <w:pPr>
      <w:pStyle w:val="Rodap"/>
    </w:pPr>
  </w:p>
  <w:tbl>
    <w:tblPr>
      <w:tblW w:w="0" w:type="auto"/>
      <w:tblInd w:w="-850" w:type="dxa"/>
      <w:tblLayout w:type="fixed"/>
      <w:tblLook w:val="04A0" w:firstRow="1" w:lastRow="0" w:firstColumn="1" w:lastColumn="0" w:noHBand="0" w:noVBand="1"/>
    </w:tblPr>
    <w:tblGrid>
      <w:gridCol w:w="10206"/>
      <w:gridCol w:w="567"/>
    </w:tblGrid>
    <w:tr w:rsidR="0087435D">
      <w:tc>
        <w:tcPr>
          <w:tcW w:w="10206" w:type="dxa"/>
          <w:tcBorders>
            <w:top w:val="single" w:sz="4" w:space="0" w:color="000000"/>
          </w:tcBorders>
          <w:noWrap/>
          <w:tcMar>
            <w:top w:w="0" w:type="dxa"/>
            <w:left w:w="0" w:type="dxa"/>
            <w:bottom w:w="0" w:type="dxa"/>
            <w:right w:w="0" w:type="dxa"/>
          </w:tcMar>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w:t>
          </w:r>
          <w:r>
            <w:rPr>
              <w:rFonts w:ascii="Calibri" w:hAnsi="Calibri"/>
              <w:sz w:val="2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582" w:type="dxa"/>
      <w:tblLayout w:type="fixed"/>
      <w:tblLook w:val="04A0" w:firstRow="1" w:lastRow="0" w:firstColumn="1" w:lastColumn="0" w:noHBand="0" w:noVBand="1"/>
    </w:tblPr>
    <w:tblGrid>
      <w:gridCol w:w="14515"/>
      <w:gridCol w:w="850"/>
    </w:tblGrid>
    <w:tr w:rsidR="0087435D">
      <w:tc>
        <w:tcPr>
          <w:tcW w:w="14515" w:type="dxa"/>
          <w:tcBorders>
            <w:top w:val="single" w:sz="4" w:space="0" w:color="000000"/>
          </w:tcBorders>
          <w:noWrap/>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850" w:type="dxa"/>
          <w:tcBorders>
            <w:top w:val="single" w:sz="4" w:space="0" w:color="000000"/>
          </w:tcBorders>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9</w:t>
          </w:r>
          <w:r>
            <w:rPr>
              <w:rFonts w:ascii="Calibri" w:hAnsi="Calibri"/>
              <w:sz w:val="24"/>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87435D">
      <w:tc>
        <w:tcPr>
          <w:tcW w:w="10206" w:type="dxa"/>
          <w:tcBorders>
            <w:top w:val="single" w:sz="4" w:space="0" w:color="000000"/>
          </w:tcBorders>
          <w:noWrap/>
          <w:tcMar>
            <w:top w:w="0" w:type="dxa"/>
            <w:left w:w="0" w:type="dxa"/>
            <w:bottom w:w="0" w:type="dxa"/>
            <w:right w:w="0" w:type="dxa"/>
          </w:tcMar>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38</w:t>
          </w:r>
          <w:r>
            <w:rPr>
              <w:rFonts w:ascii="Calibri" w:hAnsi="Calibri"/>
              <w:sz w:val="24"/>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87435D">
      <w:tc>
        <w:tcPr>
          <w:tcW w:w="10206" w:type="dxa"/>
          <w:tcBorders>
            <w:top w:val="single" w:sz="4" w:space="0" w:color="000000"/>
          </w:tcBorders>
          <w:noWrap/>
          <w:tcMar>
            <w:top w:w="0" w:type="dxa"/>
            <w:left w:w="0" w:type="dxa"/>
            <w:bottom w:w="0" w:type="dxa"/>
            <w:right w:w="0" w:type="dxa"/>
          </w:tcMar>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46</w:t>
          </w:r>
          <w:r>
            <w:rPr>
              <w:rFonts w:ascii="Calibri" w:hAnsi="Calibri"/>
              <w:sz w:val="24"/>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87435D">
      <w:tc>
        <w:tcPr>
          <w:tcW w:w="10206" w:type="dxa"/>
          <w:tcBorders>
            <w:top w:val="single" w:sz="4" w:space="0" w:color="000000"/>
          </w:tcBorders>
          <w:noWrap/>
          <w:tcMar>
            <w:top w:w="0" w:type="dxa"/>
            <w:left w:w="0" w:type="dxa"/>
            <w:bottom w:w="0" w:type="dxa"/>
            <w:right w:w="0" w:type="dxa"/>
          </w:tcMar>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47</w:t>
          </w:r>
          <w:r>
            <w:rPr>
              <w:rFonts w:ascii="Calibri" w:hAnsi="Calibri"/>
              <w:sz w:val="24"/>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87435D">
      <w:tc>
        <w:tcPr>
          <w:tcW w:w="10206" w:type="dxa"/>
          <w:tcBorders>
            <w:top w:val="single" w:sz="4" w:space="0" w:color="000000"/>
          </w:tcBorders>
          <w:noWrap/>
          <w:tcMar>
            <w:top w:w="0" w:type="dxa"/>
            <w:left w:w="0" w:type="dxa"/>
            <w:bottom w:w="0" w:type="dxa"/>
            <w:right w:w="0" w:type="dxa"/>
          </w:tcMar>
          <w:vAlign w:val="center"/>
        </w:tcPr>
        <w:p w:rsidR="0087435D" w:rsidRPr="0087435D" w:rsidRDefault="0087435D">
          <w:pPr>
            <w:spacing w:after="0"/>
            <w:rPr>
              <w:lang w:val="pt-BR"/>
            </w:rPr>
          </w:pPr>
          <w:r w:rsidRPr="0087435D">
            <w:rPr>
              <w:rFonts w:ascii="Calibri" w:hAnsi="Calibri"/>
              <w:sz w:val="18"/>
              <w:lang w:val="pt-BR"/>
            </w:rPr>
            <w:t>Assessoria Técnica e Jurídica ao Planejamento e à Gestão Institucional - ASPLAG</w:t>
          </w:r>
        </w:p>
        <w:p w:rsidR="0087435D" w:rsidRPr="0087435D" w:rsidRDefault="0087435D">
          <w:pPr>
            <w:spacing w:after="0"/>
            <w:rPr>
              <w:lang w:val="pt-BR"/>
            </w:rPr>
          </w:pPr>
          <w:r w:rsidRPr="0087435D">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87435D" w:rsidRDefault="0087435D">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50</w:t>
          </w:r>
          <w:r>
            <w:rPr>
              <w:rFonts w:ascii="Calibri" w:hAnsi="Calibri"/>
              <w:sz w:val="2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7714" w:rsidRDefault="00F77714">
      <w:pPr>
        <w:spacing w:after="0" w:line="240" w:lineRule="auto"/>
      </w:pPr>
      <w:r>
        <w:separator/>
      </w:r>
    </w:p>
  </w:footnote>
  <w:footnote w:type="continuationSeparator" w:id="0">
    <w:p w:rsidR="00F77714" w:rsidRDefault="00F77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Default="0087435D">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Default="0087435D">
    <w:pPr>
      <w:pStyle w:val="Cabealho"/>
    </w:pPr>
  </w:p>
  <w:p w:rsidR="0087435D" w:rsidRPr="0087435D" w:rsidRDefault="0087435D">
    <w:pPr>
      <w:spacing w:after="0"/>
      <w:jc w:val="center"/>
      <w:rPr>
        <w:lang w:val="pt-BR"/>
      </w:rPr>
    </w:pPr>
    <w:r w:rsidRPr="0087435D">
      <w:rPr>
        <w:rFonts w:ascii="Calibri" w:hAnsi="Calibri"/>
        <w:b/>
        <w:lang w:val="pt-BR"/>
      </w:rPr>
      <w:t>MONITORAMENTO DE METAS ESTRATÉGICAS - 2024</w:t>
    </w:r>
  </w:p>
  <w:p w:rsidR="0087435D" w:rsidRPr="0087435D" w:rsidRDefault="0087435D">
    <w:pPr>
      <w:spacing w:after="120"/>
      <w:jc w:val="center"/>
      <w:rPr>
        <w:lang w:val="pt-BR"/>
      </w:rPr>
    </w:pPr>
    <w:r w:rsidRPr="0087435D">
      <w:rPr>
        <w:rFonts w:ascii="Calibri" w:hAnsi="Calibri"/>
        <w:lang w:val="pt-BR"/>
      </w:rPr>
      <w:t>Relatório 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Pr="0087435D" w:rsidRDefault="0087435D">
    <w:pPr>
      <w:spacing w:after="0"/>
      <w:jc w:val="center"/>
      <w:rPr>
        <w:lang w:val="pt-BR"/>
      </w:rPr>
    </w:pPr>
    <w:r w:rsidRPr="0087435D">
      <w:rPr>
        <w:rFonts w:ascii="Calibri" w:hAnsi="Calibri"/>
        <w:b/>
        <w:sz w:val="24"/>
        <w:lang w:val="pt-BR"/>
      </w:rPr>
      <w:t>Resultados do Monitoramento de Metas Estratégicas 2025</w:t>
    </w:r>
  </w:p>
  <w:p w:rsidR="0087435D" w:rsidRPr="0087435D" w:rsidRDefault="0087435D">
    <w:pPr>
      <w:spacing w:after="0"/>
      <w:jc w:val="center"/>
      <w:rPr>
        <w:lang w:val="pt-BR"/>
      </w:rPr>
    </w:pPr>
    <w:r w:rsidRPr="0087435D">
      <w:rPr>
        <w:rFonts w:ascii="Calibri" w:hAnsi="Calibri"/>
        <w:lang w:val="pt-BR"/>
      </w:rPr>
      <w:t>Relatório Técnico ao Comitê de Governança e Gestão Estratégica</w:t>
    </w:r>
  </w:p>
  <w:p w:rsidR="0087435D" w:rsidRDefault="0087435D">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Pr="0087435D" w:rsidRDefault="0087435D">
    <w:pPr>
      <w:spacing w:after="0"/>
      <w:jc w:val="center"/>
      <w:rPr>
        <w:lang w:val="pt-BR"/>
      </w:rPr>
    </w:pPr>
    <w:r w:rsidRPr="0087435D">
      <w:rPr>
        <w:rFonts w:ascii="Calibri" w:hAnsi="Calibri"/>
        <w:b/>
        <w:sz w:val="24"/>
        <w:lang w:val="pt-BR"/>
      </w:rPr>
      <w:t>Resultados do Monitoramento de Metas Estratégicas 2025</w:t>
    </w:r>
  </w:p>
  <w:p w:rsidR="0087435D" w:rsidRPr="0087435D" w:rsidRDefault="0087435D">
    <w:pPr>
      <w:spacing w:after="0"/>
      <w:jc w:val="center"/>
      <w:rPr>
        <w:lang w:val="pt-BR"/>
      </w:rPr>
    </w:pPr>
    <w:r w:rsidRPr="0087435D">
      <w:rPr>
        <w:rFonts w:ascii="Calibri" w:hAnsi="Calibri"/>
        <w:lang w:val="pt-BR"/>
      </w:rPr>
      <w:t>Relatório Técnico ao Comitê de Governança e Gestão Estratégica</w:t>
    </w:r>
  </w:p>
  <w:p w:rsidR="0087435D" w:rsidRDefault="0087435D">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Pr="0087435D" w:rsidRDefault="0087435D">
    <w:pPr>
      <w:spacing w:after="0"/>
      <w:jc w:val="center"/>
      <w:rPr>
        <w:lang w:val="pt-BR"/>
      </w:rPr>
    </w:pPr>
    <w:r w:rsidRPr="0087435D">
      <w:rPr>
        <w:rFonts w:ascii="Calibri" w:hAnsi="Calibri"/>
        <w:b/>
        <w:sz w:val="24"/>
        <w:lang w:val="pt-BR"/>
      </w:rPr>
      <w:t>Resultados do Monitoramento de Metas Estratégicas 2025</w:t>
    </w:r>
  </w:p>
  <w:p w:rsidR="0087435D" w:rsidRPr="0087435D" w:rsidRDefault="0087435D">
    <w:pPr>
      <w:spacing w:after="0"/>
      <w:jc w:val="center"/>
      <w:rPr>
        <w:lang w:val="pt-BR"/>
      </w:rPr>
    </w:pPr>
    <w:r w:rsidRPr="0087435D">
      <w:rPr>
        <w:rFonts w:ascii="Calibri" w:hAnsi="Calibri"/>
        <w:lang w:val="pt-BR"/>
      </w:rPr>
      <w:t>Relatório Técnico ao Comitê de Governança e Gestão Estratégica</w:t>
    </w:r>
  </w:p>
  <w:p w:rsidR="0087435D" w:rsidRDefault="0087435D">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Pr="0087435D" w:rsidRDefault="0087435D">
    <w:pPr>
      <w:spacing w:after="0"/>
      <w:jc w:val="center"/>
      <w:rPr>
        <w:lang w:val="pt-BR"/>
      </w:rPr>
    </w:pPr>
    <w:r w:rsidRPr="0087435D">
      <w:rPr>
        <w:rFonts w:ascii="Calibri" w:hAnsi="Calibri"/>
        <w:b/>
        <w:sz w:val="24"/>
        <w:lang w:val="pt-BR"/>
      </w:rPr>
      <w:t>Resultados do Monitoramento de Metas Estratégicas 2025</w:t>
    </w:r>
  </w:p>
  <w:p w:rsidR="0087435D" w:rsidRPr="0087435D" w:rsidRDefault="0087435D">
    <w:pPr>
      <w:spacing w:after="0"/>
      <w:jc w:val="center"/>
      <w:rPr>
        <w:lang w:val="pt-BR"/>
      </w:rPr>
    </w:pPr>
    <w:r w:rsidRPr="0087435D">
      <w:rPr>
        <w:rFonts w:ascii="Calibri" w:hAnsi="Calibri"/>
        <w:lang w:val="pt-BR"/>
      </w:rPr>
      <w:t>Relatório Técnico ao Comitê de Governança e Gestão Estratégica</w:t>
    </w:r>
  </w:p>
  <w:p w:rsidR="0087435D" w:rsidRDefault="0087435D">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435D" w:rsidRPr="0087435D" w:rsidRDefault="0087435D">
    <w:pPr>
      <w:spacing w:after="0"/>
      <w:jc w:val="center"/>
      <w:rPr>
        <w:lang w:val="pt-BR"/>
      </w:rPr>
    </w:pPr>
    <w:r w:rsidRPr="0087435D">
      <w:rPr>
        <w:rFonts w:ascii="Calibri" w:hAnsi="Calibri"/>
        <w:b/>
        <w:sz w:val="24"/>
        <w:lang w:val="pt-BR"/>
      </w:rPr>
      <w:t>Resultados do Monitoramento de Metas Estratégicas 2025</w:t>
    </w:r>
  </w:p>
  <w:p w:rsidR="0087435D" w:rsidRPr="0087435D" w:rsidRDefault="0087435D">
    <w:pPr>
      <w:spacing w:after="0"/>
      <w:jc w:val="center"/>
      <w:rPr>
        <w:lang w:val="pt-BR"/>
      </w:rPr>
    </w:pPr>
    <w:r w:rsidRPr="0087435D">
      <w:rPr>
        <w:rFonts w:ascii="Calibri" w:hAnsi="Calibri"/>
        <w:lang w:val="pt-BR"/>
      </w:rPr>
      <w:t>Relatório Técnico ao Comitê de Governança e Gestão Estratégica</w:t>
    </w:r>
  </w:p>
  <w:p w:rsidR="0087435D" w:rsidRDefault="0087435D">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4B9141D6"/>
    <w:multiLevelType w:val="multilevel"/>
    <w:tmpl w:val="A51464F6"/>
    <w:lvl w:ilvl="0">
      <w:start w:val="4"/>
      <w:numFmt w:val="decimal"/>
      <w:lvlText w:val="%1"/>
      <w:lvlJc w:val="left"/>
      <w:pPr>
        <w:ind w:left="360" w:hanging="360"/>
      </w:pPr>
      <w:rPr>
        <w:rFonts w:hint="default"/>
      </w:rPr>
    </w:lvl>
    <w:lvl w:ilvl="1">
      <w:start w:val="1"/>
      <w:numFmt w:val="decimal"/>
      <w:lvlText w:val="%1.%2"/>
      <w:lvlJc w:val="left"/>
      <w:pPr>
        <w:ind w:left="777" w:hanging="360"/>
      </w:pPr>
      <w:rPr>
        <w:rFonts w:hint="default"/>
      </w:rPr>
    </w:lvl>
    <w:lvl w:ilvl="2">
      <w:start w:val="1"/>
      <w:numFmt w:val="decimal"/>
      <w:lvlText w:val="%1.%2.%3"/>
      <w:lvlJc w:val="left"/>
      <w:pPr>
        <w:ind w:left="1554" w:hanging="720"/>
      </w:pPr>
      <w:rPr>
        <w:rFonts w:hint="default"/>
        <w:b/>
        <w:bCs/>
        <w:color w:val="E36C0A" w:themeColor="accent6" w:themeShade="BF"/>
        <w:sz w:val="28"/>
        <w:szCs w:val="28"/>
      </w:rPr>
    </w:lvl>
    <w:lvl w:ilvl="3">
      <w:start w:val="1"/>
      <w:numFmt w:val="decimal"/>
      <w:lvlText w:val="%1.%2.%3.%4"/>
      <w:lvlJc w:val="left"/>
      <w:pPr>
        <w:ind w:left="2331" w:hanging="1080"/>
      </w:pPr>
      <w:rPr>
        <w:rFonts w:hint="default"/>
      </w:rPr>
    </w:lvl>
    <w:lvl w:ilvl="4">
      <w:start w:val="1"/>
      <w:numFmt w:val="decimal"/>
      <w:lvlText w:val="%1.%2.%3.%4.%5"/>
      <w:lvlJc w:val="left"/>
      <w:pPr>
        <w:ind w:left="2748" w:hanging="1080"/>
      </w:pPr>
      <w:rPr>
        <w:rFonts w:hint="default"/>
      </w:rPr>
    </w:lvl>
    <w:lvl w:ilvl="5">
      <w:start w:val="1"/>
      <w:numFmt w:val="decimal"/>
      <w:lvlText w:val="%1.%2.%3.%4.%5.%6"/>
      <w:lvlJc w:val="left"/>
      <w:pPr>
        <w:ind w:left="3525" w:hanging="1440"/>
      </w:pPr>
      <w:rPr>
        <w:rFonts w:hint="default"/>
      </w:rPr>
    </w:lvl>
    <w:lvl w:ilvl="6">
      <w:start w:val="1"/>
      <w:numFmt w:val="decimal"/>
      <w:lvlText w:val="%1.%2.%3.%4.%5.%6.%7"/>
      <w:lvlJc w:val="left"/>
      <w:pPr>
        <w:ind w:left="3942" w:hanging="1440"/>
      </w:pPr>
      <w:rPr>
        <w:rFonts w:hint="default"/>
      </w:rPr>
    </w:lvl>
    <w:lvl w:ilvl="7">
      <w:start w:val="1"/>
      <w:numFmt w:val="decimal"/>
      <w:lvlText w:val="%1.%2.%3.%4.%5.%6.%7.%8"/>
      <w:lvlJc w:val="left"/>
      <w:pPr>
        <w:ind w:left="4719" w:hanging="1800"/>
      </w:pPr>
      <w:rPr>
        <w:rFonts w:hint="default"/>
      </w:rPr>
    </w:lvl>
    <w:lvl w:ilvl="8">
      <w:start w:val="1"/>
      <w:numFmt w:val="decimal"/>
      <w:lvlText w:val="%1.%2.%3.%4.%5.%6.%7.%8.%9"/>
      <w:lvlJc w:val="left"/>
      <w:pPr>
        <w:ind w:left="5496" w:hanging="2160"/>
      </w:pPr>
      <w:rPr>
        <w:rFonts w:hint="default"/>
      </w:rPr>
    </w:lvl>
  </w:abstractNum>
  <w:abstractNum w:abstractNumId="10" w15:restartNumberingAfterBreak="0">
    <w:nsid w:val="54F911E6"/>
    <w:multiLevelType w:val="multilevel"/>
    <w:tmpl w:val="BC6C2578"/>
    <w:lvl w:ilvl="0">
      <w:start w:val="1"/>
      <w:numFmt w:val="decimal"/>
      <w:lvlText w:val="%1."/>
      <w:lvlJc w:val="left"/>
      <w:pPr>
        <w:ind w:left="417" w:hanging="360"/>
      </w:pPr>
      <w:rPr>
        <w:rFonts w:hint="default"/>
        <w:b/>
        <w:bCs/>
        <w:color w:val="E36C0A" w:themeColor="accent6" w:themeShade="BF"/>
        <w:sz w:val="28"/>
        <w:szCs w:val="28"/>
      </w:rPr>
    </w:lvl>
    <w:lvl w:ilvl="1">
      <w:start w:val="1"/>
      <w:numFmt w:val="decimal"/>
      <w:isLgl/>
      <w:lvlText w:val="%1.%2."/>
      <w:lvlJc w:val="left"/>
      <w:pPr>
        <w:ind w:left="1137" w:hanging="720"/>
      </w:pPr>
      <w:rPr>
        <w:rFonts w:hint="default"/>
      </w:rPr>
    </w:lvl>
    <w:lvl w:ilvl="2">
      <w:start w:val="1"/>
      <w:numFmt w:val="decimal"/>
      <w:isLgl/>
      <w:lvlText w:val="%1.%2.%3."/>
      <w:lvlJc w:val="left"/>
      <w:pPr>
        <w:ind w:left="1497" w:hanging="720"/>
      </w:pPr>
      <w:rPr>
        <w:rFonts w:hint="default"/>
      </w:rPr>
    </w:lvl>
    <w:lvl w:ilvl="3">
      <w:start w:val="1"/>
      <w:numFmt w:val="decimal"/>
      <w:isLgl/>
      <w:lvlText w:val="%1.%2.%3.%4."/>
      <w:lvlJc w:val="left"/>
      <w:pPr>
        <w:ind w:left="2217" w:hanging="1080"/>
      </w:pPr>
      <w:rPr>
        <w:rFonts w:hint="default"/>
      </w:rPr>
    </w:lvl>
    <w:lvl w:ilvl="4">
      <w:start w:val="1"/>
      <w:numFmt w:val="decimal"/>
      <w:isLgl/>
      <w:lvlText w:val="%1.%2.%3.%4.%5."/>
      <w:lvlJc w:val="left"/>
      <w:pPr>
        <w:ind w:left="2577" w:hanging="1080"/>
      </w:pPr>
      <w:rPr>
        <w:rFonts w:hint="default"/>
      </w:rPr>
    </w:lvl>
    <w:lvl w:ilvl="5">
      <w:start w:val="1"/>
      <w:numFmt w:val="decimal"/>
      <w:isLgl/>
      <w:lvlText w:val="%1.%2.%3.%4.%5.%6."/>
      <w:lvlJc w:val="left"/>
      <w:pPr>
        <w:ind w:left="3297" w:hanging="1440"/>
      </w:pPr>
      <w:rPr>
        <w:rFonts w:hint="default"/>
      </w:rPr>
    </w:lvl>
    <w:lvl w:ilvl="6">
      <w:start w:val="1"/>
      <w:numFmt w:val="decimal"/>
      <w:isLgl/>
      <w:lvlText w:val="%1.%2.%3.%4.%5.%6.%7."/>
      <w:lvlJc w:val="left"/>
      <w:pPr>
        <w:ind w:left="4017" w:hanging="1800"/>
      </w:pPr>
      <w:rPr>
        <w:rFonts w:hint="default"/>
      </w:rPr>
    </w:lvl>
    <w:lvl w:ilvl="7">
      <w:start w:val="1"/>
      <w:numFmt w:val="decimal"/>
      <w:isLgl/>
      <w:lvlText w:val="%1.%2.%3.%4.%5.%6.%7.%8."/>
      <w:lvlJc w:val="left"/>
      <w:pPr>
        <w:ind w:left="4377" w:hanging="1800"/>
      </w:pPr>
      <w:rPr>
        <w:rFonts w:hint="default"/>
      </w:rPr>
    </w:lvl>
    <w:lvl w:ilvl="8">
      <w:start w:val="1"/>
      <w:numFmt w:val="decimal"/>
      <w:isLgl/>
      <w:lvlText w:val="%1.%2.%3.%4.%5.%6.%7.%8.%9."/>
      <w:lvlJc w:val="left"/>
      <w:pPr>
        <w:ind w:left="5097"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B8E"/>
    <w:rsid w:val="0015074B"/>
    <w:rsid w:val="002904BA"/>
    <w:rsid w:val="0029639D"/>
    <w:rsid w:val="00326F90"/>
    <w:rsid w:val="006244D3"/>
    <w:rsid w:val="00692152"/>
    <w:rsid w:val="007174EC"/>
    <w:rsid w:val="00760DE1"/>
    <w:rsid w:val="0078797F"/>
    <w:rsid w:val="00840187"/>
    <w:rsid w:val="0087435D"/>
    <w:rsid w:val="00AA1D8D"/>
    <w:rsid w:val="00B47730"/>
    <w:rsid w:val="00B8051E"/>
    <w:rsid w:val="00C01653"/>
    <w:rsid w:val="00CB0664"/>
    <w:rsid w:val="00E24CFE"/>
    <w:rsid w:val="00E96F51"/>
    <w:rsid w:val="00F12BD4"/>
    <w:rsid w:val="00F77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F015D"/>
  <w14:defaultImageDpi w14:val="300"/>
  <w15:docId w15:val="{6D6B990F-05D7-4F72-B7C3-18CEC52A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justificadorecuoprimeiralinha">
    <w:name w:val="texto_justificado_recuo_primeira_linha"/>
    <w:basedOn w:val="Normal"/>
    <w:rsid w:val="0087435D"/>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Default">
    <w:name w:val="Default"/>
    <w:rsid w:val="0087435D"/>
    <w:pPr>
      <w:autoSpaceDE w:val="0"/>
      <w:autoSpaceDN w:val="0"/>
      <w:adjustRightInd w:val="0"/>
      <w:spacing w:after="0" w:line="240" w:lineRule="auto"/>
    </w:pPr>
    <w:rPr>
      <w:rFonts w:ascii="Calibri" w:eastAsia="Arial" w:hAnsi="Calibri" w:cs="Calibri"/>
      <w:color w:val="000000"/>
      <w:sz w:val="24"/>
      <w:szCs w:val="24"/>
      <w:lang w:val="pt-BR" w:eastAsia="pt-BR"/>
    </w:rPr>
  </w:style>
  <w:style w:type="paragraph" w:styleId="Sumrio1">
    <w:name w:val="toc 1"/>
    <w:basedOn w:val="Normal"/>
    <w:next w:val="Normal"/>
    <w:autoRedefine/>
    <w:uiPriority w:val="39"/>
    <w:unhideWhenUsed/>
    <w:rsid w:val="007174EC"/>
    <w:pPr>
      <w:spacing w:after="100"/>
    </w:pPr>
  </w:style>
  <w:style w:type="paragraph" w:styleId="Sumrio2">
    <w:name w:val="toc 2"/>
    <w:basedOn w:val="Normal"/>
    <w:next w:val="Normal"/>
    <w:autoRedefine/>
    <w:uiPriority w:val="39"/>
    <w:unhideWhenUsed/>
    <w:rsid w:val="007174EC"/>
    <w:pPr>
      <w:spacing w:after="100"/>
      <w:ind w:left="220"/>
    </w:pPr>
  </w:style>
  <w:style w:type="character" w:styleId="Hyperlink">
    <w:name w:val="Hyperlink"/>
    <w:basedOn w:val="Fontepargpadro"/>
    <w:uiPriority w:val="99"/>
    <w:unhideWhenUsed/>
    <w:rsid w:val="007174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079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23C35-F9AE-430B-AB97-78C0A05DE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56</Pages>
  <Words>19572</Words>
  <Characters>105694</Characters>
  <Application>Microsoft Office Word</Application>
  <DocSecurity>0</DocSecurity>
  <Lines>880</Lines>
  <Paragraphs>250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19</cp:revision>
  <dcterms:created xsi:type="dcterms:W3CDTF">2013-12-23T23:15:00Z</dcterms:created>
  <dcterms:modified xsi:type="dcterms:W3CDTF">2026-03-03T18:12:00Z</dcterms:modified>
  <cp:category/>
</cp:coreProperties>
</file>