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58</w:t>
            </w:r>
          </w:p>
        </w:tc>
        <w:tc>
          <w:tcPr>
            <w:tcW w:type="dxa" w:w="1417"/>
            <w:shd w:fill="404040"/>
            <w:vAlign w:val="center"/>
          </w:tcPr>
          <w:p>
            <w:pPr>
              <w:jc w:val="center"/>
            </w:pPr>
            <w:r>
              <w:rPr>
                <w:rFonts w:ascii="Calibri" w:hAnsi="Calibri"/>
                <w:b/>
                <w:color w:val="FFFFFF"/>
                <w:sz w:val="22"/>
              </w:rPr>
              <w:t>-16%</w:t>
            </w:r>
          </w:p>
        </w:tc>
      </w:tr>
    </w:tbl>
    <w:p>
      <w:pPr>
        <w:spacing w:before="120" w:after="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9</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58</w:t>
            </w:r>
          </w:p>
        </w:tc>
      </w:tr>
    </w:tbl>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106,30%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96,76%</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92,97%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95,65%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107,06%</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109,38%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99,52%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48,99%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142,82%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73,18%</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83,53%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90,88%</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92,01%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109,71%</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9</w:t>
            </w:r>
            <w:r>
              <w:rPr>
                <w:rFonts w:ascii="Calibri" w:hAnsi="Calibri"/>
                <w:sz w:val="22"/>
              </w:rPr>
              <w:t xml:space="preserve"> - Desenvolver, no ano de 2025, dois projetos relacionados à Agenda 2030 da ONU, oriundos do Laboratório de Inovação, com participação de pelo menos um laboratório de outra instituição pública, e que gerem benefícios à sociedade.</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Meta 9</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87,43%</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85,17%</w:t>
            </w:r>
          </w:p>
        </w:tc>
      </w:tr>
    </w:tbl>
    <w:p>
      <w:pPr>
        <w:spacing w:before="0" w:after="0"/>
      </w:pPr>
    </w:p>
    <w:p>
      <w:pPr>
        <w:sectPr>
          <w:headerReference w:type="default" r:id="rId9"/>
          <w:footerReference w:type="default" r:id="rId10"/>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1"/>
          <w:footerReference w:type="default" r:id="rId12"/>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3"/>
          <w:footerReference w:type="default" r:id="rId1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19"/>
      <w:footerReference w:type="default" r:id="rId2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582" w:type="dxa"/>
      <w:tblLayout w:type="fixed"/>
    </w:tblPr>
    <w:tblGrid>
      <w:gridCol w:w="14513"/>
      <w:gridCol w:w="850"/>
    </w:tblGrid>
    <w:tr>
      <w:tc>
        <w:tcPr>
          <w:tcW w:type="dxa" w:w="14173"/>
          <w:vAlign w:val="center"/>
          <w:tcW w:w="14515" w:type="dxa"/>
          <w:noWrap/>
          <w:tcBorders>
            <w:top w:val="single" w:sz="4" w:space="0" w:color="000000"/>
            <w:left w:val="none"/>
            <w:right w:val="none"/>
            <w:bottom w:val="none"/>
          </w:tcBorders>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14173"/>
          <w:vAlign w:val="center"/>
          <w:tcW w:w="850" w:type="dxa"/>
          <w:tcBorders>
            <w:top w:val="single" w:sz="4" w:space="0" w:color="000000"/>
            <w:left w:val="none"/>
            <w:right w:val="none"/>
            <w:bottom w:val="none"/>
          </w:tcBorders>
        </w:tcPr>
        <w:p>
          <w:pPr>
            <w:spacing w:before="0" w:after="0"/>
            <w:jc w:val="right"/>
          </w:pPr>
          <w:r>
            <w:rPr>
              <w:rFonts w:ascii="Calibri" w:hAnsi="Calibri"/>
              <w:sz w:val="24"/>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b/>
        <w:sz w:val="22"/>
      </w:rPr>
      <w:t>MONITORAMENTO DE METAS ESTRATÉGICAS - 2024</w:t>
    </w:r>
  </w:p>
  <w:p>
    <w:pPr>
      <w:spacing w:after="120"/>
      <w:jc w:val="center"/>
    </w:pPr>
    <w:r>
      <w:rPr>
        <w:rFonts w:ascii="Calibri" w:hAnsi="Calibri"/>
        <w:b w:val="0"/>
        <w:sz w:val="22"/>
      </w:rPr>
      <w:t>Relatório Técnico ao Comitê de Governança e Gestão Estratégica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