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1.14</w:t>
            </w:r>
            <w:r>
              <w:rPr>
                <w:rFonts w:ascii="Calibri" w:hAnsi="Calibri"/>
                <w:sz w:val="18"/>
              </w:rPr>
              <w:t xml:space="preserve"> - Taxa de execução das ações previstas no Programa D.I.A (Programa de Desenvolvimento, Inclusão e Acessibilidade).</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111</w:t>
            </w:r>
            <w:r>
              <w:rPr>
                <w:rFonts w:ascii="Calibri" w:hAnsi="Calibri"/>
                <w:sz w:val="18"/>
              </w:rPr>
              <w:t xml:space="preserve"> - Executar, até dezembro de 2025, 80% (oitenta por cento) das ações previstas para o ano vigente no programa D.I.A (Programa de Desenvolvimento, Inclusão e Acessibilidade).</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SEGOVE</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57,4</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79</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O resultado informado corresponde ao percentual de atividades concluídas em relação as atividades previstas no cronograma da iniciativa para o ano de 2025. Abaixo estão elencadas as principais atividades que foram concluídas entre janeiro e agosto de 2025: </w:t>
            </w:r>
          </w:p>
          <w:p>
            <w:pPr>
              <w:spacing w:before="0" w:after="0"/>
              <w:jc w:val="both"/>
            </w:pPr>
            <w:r>
              <w:rPr>
                <w:rFonts w:ascii="Calibri" w:hAnsi="Calibri"/>
                <w:sz w:val="20"/>
              </w:rPr>
              <w:t>•</w:t>
            </w:r>
            <w:r>
              <w:rPr>
                <w:rFonts w:ascii="Calibri" w:hAnsi="Calibri"/>
                <w:sz w:val="20"/>
              </w:rPr>
              <w:t xml:space="preserve"> Disponibilização da cartilha em braile; </w:t>
            </w:r>
          </w:p>
          <w:p>
            <w:pPr>
              <w:spacing w:before="0" w:after="0"/>
              <w:jc w:val="both"/>
            </w:pPr>
            <w:r>
              <w:rPr>
                <w:rFonts w:ascii="Calibri" w:hAnsi="Calibri"/>
                <w:sz w:val="20"/>
              </w:rPr>
              <w:t>•</w:t>
            </w:r>
            <w:r>
              <w:rPr>
                <w:rFonts w:ascii="Calibri" w:hAnsi="Calibri"/>
                <w:sz w:val="20"/>
              </w:rPr>
              <w:t xml:space="preserve"> Elaboração do plano anual de comunicação para as campanhas de acessibilidade e inclusão </w:t>
            </w:r>
          </w:p>
          <w:p>
            <w:pPr>
              <w:spacing w:before="0" w:after="0"/>
              <w:jc w:val="both"/>
            </w:pPr>
            <w:r>
              <w:rPr>
                <w:rFonts w:ascii="Calibri" w:hAnsi="Calibri"/>
                <w:sz w:val="20"/>
              </w:rPr>
              <w:t>•</w:t>
            </w:r>
            <w:r>
              <w:rPr>
                <w:rFonts w:ascii="Calibri" w:hAnsi="Calibri"/>
                <w:sz w:val="20"/>
              </w:rPr>
              <w:t xml:space="preserve"> Expansão do Projeto Amigo Down, em parceria com as APAEs para alcançar novas localidades. </w:t>
            </w:r>
          </w:p>
          <w:p>
            <w:pPr>
              <w:spacing w:before="0" w:after="0"/>
              <w:jc w:val="both"/>
            </w:pPr>
            <w:r>
              <w:rPr>
                <w:rFonts w:ascii="Calibri" w:hAnsi="Calibri"/>
                <w:sz w:val="20"/>
              </w:rPr>
              <w:t>•</w:t>
            </w:r>
            <w:r>
              <w:rPr>
                <w:rFonts w:ascii="Calibri" w:hAnsi="Calibri"/>
                <w:sz w:val="20"/>
              </w:rPr>
              <w:t xml:space="preserve"> Em desenvolvimento o projeto Cordão de Girassol, uma iniciativa voltada ao reconhecimento facilitados de pessoas com deficiências ocultas. Os cordões de Girassol já estão disponíveis na Gerência de Saúde no Trabalho - Gersat. </w:t>
            </w:r>
          </w:p>
          <w:p>
            <w:pPr>
              <w:spacing w:before="0" w:after="0"/>
              <w:jc w:val="both"/>
            </w:pPr>
            <w:r>
              <w:rPr>
                <w:rFonts w:ascii="Calibri" w:hAnsi="Calibri"/>
                <w:sz w:val="20"/>
              </w:rPr>
              <w:t>•</w:t>
            </w:r>
            <w:r>
              <w:rPr>
                <w:rFonts w:ascii="Calibri" w:hAnsi="Calibri"/>
                <w:sz w:val="20"/>
              </w:rPr>
              <w:t xml:space="preserve"> Realização de visitas às comarcas para avaliar a acessibilidade dos prédios do TJMG, visando identificar necessidades de melhorias ou adequação. A primeira visita foi realizada na comarca de Pará de Minas, no dia 29/07/2025. Foram identificadas as necessidades de melhorias e adequações e enviadas para às áreas responsáveis adotarem as providências cabíveis. </w:t>
            </w:r>
          </w:p>
          <w:p>
            <w:pPr>
              <w:spacing w:before="0" w:after="0"/>
              <w:jc w:val="both"/>
            </w:pPr>
            <w:r>
              <w:rPr>
                <w:rFonts w:ascii="Calibri" w:hAnsi="Calibri"/>
                <w:sz w:val="20"/>
              </w:rPr>
              <w:t>•</w:t>
            </w:r>
            <w:r>
              <w:rPr>
                <w:rFonts w:ascii="Calibri" w:hAnsi="Calibri"/>
                <w:sz w:val="20"/>
              </w:rPr>
              <w:t xml:space="preserve"> Realização do Seminário Setembro Acessível: diálogos sobre inclusão no Judiciário.</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1.16</w:t>
            </w:r>
            <w:r>
              <w:rPr>
                <w:rFonts w:ascii="Calibri" w:hAnsi="Calibri"/>
                <w:sz w:val="18"/>
              </w:rPr>
              <w:t xml:space="preserve"> - Número de pessoas beneficiadas com ações relacionadas à prevenção e combate à violência doméstica e familiar.</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124</w:t>
            </w:r>
            <w:r>
              <w:rPr>
                <w:rFonts w:ascii="Calibri" w:hAnsi="Calibri"/>
                <w:sz w:val="18"/>
              </w:rPr>
              <w:t xml:space="preserve"> - Alcançar 20.000 (vinte mil) pessoas com ações relacionadas à prevenção e combate à violência doméstica e familiar, com a participação direta da população até dezembro de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COMSIV</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3.474</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13</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De janeiro até agosto de 2025, diversas ações foram executadas no âmbito do projeto vinculado a meta, resultando no alcance de 3.474 pessoas. Conjunto consolidado de ações e seus alcances: </w:t>
            </w:r>
          </w:p>
          <w:p>
            <w:pPr>
              <w:spacing w:before="0" w:after="0"/>
              <w:jc w:val="both"/>
            </w:pPr>
            <w:r>
              <w:rPr>
                <w:rFonts w:ascii="Calibri" w:hAnsi="Calibri"/>
                <w:sz w:val="20"/>
              </w:rPr>
              <w:t>•</w:t>
            </w:r>
            <w:r>
              <w:rPr>
                <w:rFonts w:ascii="Calibri" w:hAnsi="Calibri"/>
                <w:sz w:val="20"/>
              </w:rPr>
              <w:t xml:space="preserve"> Palestra realizada na OAB: 40 pessoas. </w:t>
            </w:r>
          </w:p>
          <w:p>
            <w:pPr>
              <w:spacing w:before="0" w:after="0"/>
              <w:jc w:val="both"/>
            </w:pPr>
            <w:r>
              <w:rPr>
                <w:rFonts w:ascii="Calibri" w:hAnsi="Calibri"/>
                <w:sz w:val="20"/>
              </w:rPr>
              <w:t>•</w:t>
            </w:r>
            <w:r>
              <w:rPr>
                <w:rFonts w:ascii="Calibri" w:hAnsi="Calibri"/>
                <w:sz w:val="20"/>
              </w:rPr>
              <w:t xml:space="preserve"> Apresentação da cartilha: 50 pessoas. </w:t>
            </w:r>
          </w:p>
          <w:p>
            <w:pPr>
              <w:spacing w:before="0" w:after="0"/>
              <w:jc w:val="both"/>
            </w:pPr>
            <w:r>
              <w:rPr>
                <w:rFonts w:ascii="Calibri" w:hAnsi="Calibri"/>
                <w:sz w:val="20"/>
              </w:rPr>
              <w:t>•</w:t>
            </w:r>
            <w:r>
              <w:rPr>
                <w:rFonts w:ascii="Calibri" w:hAnsi="Calibri"/>
                <w:sz w:val="20"/>
              </w:rPr>
              <w:t xml:space="preserve"> Lançamento do baralho Afago: 70 pessoas. </w:t>
            </w:r>
          </w:p>
          <w:p>
            <w:pPr>
              <w:spacing w:before="0" w:after="0"/>
              <w:jc w:val="both"/>
            </w:pPr>
            <w:r>
              <w:rPr>
                <w:rFonts w:ascii="Calibri" w:hAnsi="Calibri"/>
                <w:sz w:val="20"/>
              </w:rPr>
              <w:t>•</w:t>
            </w:r>
            <w:r>
              <w:rPr>
                <w:rFonts w:ascii="Calibri" w:hAnsi="Calibri"/>
                <w:sz w:val="20"/>
              </w:rPr>
              <w:t xml:space="preserve"> Lançamento da cartilha “Você não está sozinha”: 70 pessoas. </w:t>
            </w:r>
          </w:p>
          <w:p>
            <w:pPr>
              <w:spacing w:before="0" w:after="0"/>
              <w:jc w:val="both"/>
            </w:pPr>
            <w:r>
              <w:rPr>
                <w:rFonts w:ascii="Calibri" w:hAnsi="Calibri"/>
                <w:sz w:val="20"/>
              </w:rPr>
              <w:t>•</w:t>
            </w:r>
            <w:r>
              <w:rPr>
                <w:rFonts w:ascii="Calibri" w:hAnsi="Calibri"/>
                <w:sz w:val="20"/>
              </w:rPr>
              <w:t xml:space="preserve"> 19 ações realizadas na 29ª e 30ª Semana Justiça pela Paz em Casa (alcance total: 1.419 pessoas), distribuídas em: 11 ações no âmbito do projeto Construindo Igualdades; 1 ação no projeto Justiça Vai à Escola; 1 ação no projeto Conhecendo o Judiciário; 1 Cine Clube “A meia luz” e; 5 ações voltadas ao combate e prevenção a violência doméstica e familiar. </w:t>
            </w:r>
          </w:p>
          <w:p>
            <w:pPr>
              <w:spacing w:before="0" w:after="0"/>
              <w:jc w:val="both"/>
            </w:pPr>
            <w:r>
              <w:rPr>
                <w:rFonts w:ascii="Calibri" w:hAnsi="Calibri"/>
                <w:sz w:val="20"/>
              </w:rPr>
              <w:t>•</w:t>
            </w:r>
            <w:r>
              <w:rPr>
                <w:rFonts w:ascii="Calibri" w:hAnsi="Calibri"/>
                <w:sz w:val="20"/>
              </w:rPr>
              <w:t xml:space="preserve"> Implantação do grupo reflexivo na Comarca de Jequié (Jequeri): 20 pessoas. </w:t>
            </w:r>
          </w:p>
          <w:p>
            <w:pPr>
              <w:spacing w:before="0" w:after="0"/>
              <w:jc w:val="both"/>
            </w:pPr>
            <w:r>
              <w:rPr>
                <w:rFonts w:ascii="Calibri" w:hAnsi="Calibri"/>
                <w:sz w:val="20"/>
              </w:rPr>
              <w:t>•</w:t>
            </w:r>
            <w:r>
              <w:rPr>
                <w:rFonts w:ascii="Calibri" w:hAnsi="Calibri"/>
                <w:sz w:val="20"/>
              </w:rPr>
              <w:t xml:space="preserve"> Apresentação da COMSIV na EJEF – Posse dos novos juízes: 50 pessoas. </w:t>
            </w:r>
          </w:p>
          <w:p>
            <w:pPr>
              <w:spacing w:before="0" w:after="0"/>
              <w:jc w:val="both"/>
            </w:pPr>
            <w:r>
              <w:rPr>
                <w:rFonts w:ascii="Calibri" w:hAnsi="Calibri"/>
                <w:sz w:val="20"/>
              </w:rPr>
              <w:t>•</w:t>
            </w:r>
            <w:r>
              <w:rPr>
                <w:rFonts w:ascii="Calibri" w:hAnsi="Calibri"/>
                <w:sz w:val="20"/>
              </w:rPr>
              <w:t xml:space="preserve"> Apresentação dos projetos da COMSIV: 100 pessoas. </w:t>
            </w:r>
          </w:p>
          <w:p>
            <w:pPr>
              <w:spacing w:before="0" w:after="0"/>
              <w:jc w:val="both"/>
            </w:pPr>
            <w:r>
              <w:rPr>
                <w:rFonts w:ascii="Calibri" w:hAnsi="Calibri"/>
                <w:sz w:val="20"/>
              </w:rPr>
              <w:t>•</w:t>
            </w:r>
            <w:r>
              <w:rPr>
                <w:rFonts w:ascii="Calibri" w:hAnsi="Calibri"/>
                <w:sz w:val="20"/>
              </w:rPr>
              <w:t xml:space="preserve"> V Encontro do Colégio de Ouvidorias Judiciais das Mulheres (COJUM) realizado TJMG e pelo TRT3 em três dias: 255 pessoas. </w:t>
            </w:r>
          </w:p>
          <w:p>
            <w:pPr>
              <w:spacing w:before="0" w:after="0"/>
              <w:jc w:val="both"/>
            </w:pPr>
            <w:r>
              <w:rPr>
                <w:rFonts w:ascii="Calibri" w:hAnsi="Calibri"/>
                <w:sz w:val="20"/>
              </w:rPr>
              <w:t>•</w:t>
            </w:r>
            <w:r>
              <w:rPr>
                <w:rFonts w:ascii="Calibri" w:hAnsi="Calibri"/>
                <w:sz w:val="20"/>
              </w:rPr>
              <w:t xml:space="preserve"> Curso de Capacitação para camareiras (Senac): 30 mulheres. </w:t>
            </w:r>
          </w:p>
          <w:p>
            <w:pPr>
              <w:spacing w:before="0" w:after="0"/>
              <w:jc w:val="both"/>
            </w:pPr>
            <w:r>
              <w:rPr>
                <w:rFonts w:ascii="Calibri" w:hAnsi="Calibri"/>
                <w:sz w:val="20"/>
              </w:rPr>
              <w:t>•</w:t>
            </w:r>
            <w:r>
              <w:rPr>
                <w:rFonts w:ascii="Calibri" w:hAnsi="Calibri"/>
                <w:sz w:val="20"/>
              </w:rPr>
              <w:t xml:space="preserve"> Palestra realizada na PUC Minas : 63 pessoas </w:t>
            </w:r>
          </w:p>
          <w:p>
            <w:pPr>
              <w:spacing w:before="0" w:after="0"/>
              <w:jc w:val="both"/>
            </w:pPr>
            <w:r>
              <w:rPr>
                <w:rFonts w:ascii="Calibri" w:hAnsi="Calibri"/>
                <w:sz w:val="20"/>
              </w:rPr>
              <w:t>•</w:t>
            </w:r>
            <w:r>
              <w:rPr>
                <w:rFonts w:ascii="Calibri" w:hAnsi="Calibri"/>
                <w:sz w:val="20"/>
              </w:rPr>
              <w:t xml:space="preserve"> VI Conferência Nacional de Políticas Públicas – Apresentação da COMSIV Três Pontas: 60 pessoas. </w:t>
            </w:r>
          </w:p>
          <w:p>
            <w:pPr>
              <w:spacing w:before="0" w:after="0"/>
              <w:jc w:val="both"/>
            </w:pPr>
            <w:r>
              <w:rPr>
                <w:rFonts w:ascii="Calibri" w:hAnsi="Calibri"/>
                <w:sz w:val="20"/>
              </w:rPr>
              <w:t>•</w:t>
            </w:r>
            <w:r>
              <w:rPr>
                <w:rFonts w:ascii="Calibri" w:hAnsi="Calibri"/>
                <w:sz w:val="20"/>
              </w:rPr>
              <w:t xml:space="preserve"> VI Conferência Nacional de Políticas Públicas – Apresentação da COMSIV Alfenas: 72 pessoas. </w:t>
            </w:r>
          </w:p>
          <w:p>
            <w:pPr>
              <w:spacing w:before="0" w:after="0"/>
              <w:jc w:val="both"/>
            </w:pPr>
            <w:r>
              <w:rPr>
                <w:rFonts w:ascii="Calibri" w:hAnsi="Calibri"/>
                <w:sz w:val="20"/>
              </w:rPr>
              <w:t>•</w:t>
            </w:r>
            <w:r>
              <w:rPr>
                <w:rFonts w:ascii="Calibri" w:hAnsi="Calibri"/>
                <w:sz w:val="20"/>
              </w:rPr>
              <w:t xml:space="preserve"> Reunião virtual Ordinária (Câmara Integrada de Políticas dos Direitos das Mulheres): 80 pessoas. </w:t>
            </w:r>
          </w:p>
          <w:p>
            <w:pPr>
              <w:spacing w:before="0" w:after="0"/>
              <w:jc w:val="both"/>
            </w:pPr>
            <w:r>
              <w:rPr>
                <w:rFonts w:ascii="Calibri" w:hAnsi="Calibri"/>
                <w:sz w:val="20"/>
              </w:rPr>
              <w:t>•</w:t>
            </w:r>
            <w:r>
              <w:rPr>
                <w:rFonts w:ascii="Calibri" w:hAnsi="Calibri"/>
                <w:sz w:val="20"/>
              </w:rPr>
              <w:t xml:space="preserve"> 1º Encontro Proc. da Mulher ALMG: 100 pessoas. </w:t>
            </w:r>
          </w:p>
          <w:p>
            <w:pPr>
              <w:spacing w:before="0" w:after="0"/>
              <w:jc w:val="both"/>
            </w:pPr>
            <w:r>
              <w:rPr>
                <w:rFonts w:ascii="Calibri" w:hAnsi="Calibri"/>
                <w:sz w:val="20"/>
              </w:rPr>
              <w:t>•</w:t>
            </w:r>
            <w:r>
              <w:rPr>
                <w:rFonts w:ascii="Calibri" w:hAnsi="Calibri"/>
                <w:sz w:val="20"/>
              </w:rPr>
              <w:t xml:space="preserve"> 2º Encontro Proc. Mulher ALMG: 100 pessoas. </w:t>
            </w:r>
          </w:p>
          <w:p>
            <w:pPr>
              <w:spacing w:before="0" w:after="0"/>
              <w:jc w:val="both"/>
            </w:pPr>
            <w:r>
              <w:rPr>
                <w:rFonts w:ascii="Calibri" w:hAnsi="Calibri"/>
                <w:sz w:val="20"/>
              </w:rPr>
              <w:t>•</w:t>
            </w:r>
            <w:r>
              <w:rPr>
                <w:rFonts w:ascii="Calibri" w:hAnsi="Calibri"/>
                <w:sz w:val="20"/>
              </w:rPr>
              <w:t xml:space="preserve"> Abertura do Curso de Capacitação em Oitiva de Mulheres Vítimas ou Testemunhas de Violência: 30 pessoas. </w:t>
            </w:r>
          </w:p>
          <w:p>
            <w:pPr>
              <w:spacing w:before="0" w:after="0"/>
              <w:jc w:val="both"/>
            </w:pPr>
            <w:r>
              <w:rPr>
                <w:rFonts w:ascii="Calibri" w:hAnsi="Calibri"/>
                <w:sz w:val="20"/>
              </w:rPr>
              <w:t>•</w:t>
            </w:r>
            <w:r>
              <w:rPr>
                <w:rFonts w:ascii="Calibri" w:hAnsi="Calibri"/>
                <w:sz w:val="20"/>
              </w:rPr>
              <w:t xml:space="preserve"> Inauguração da Casa da Mulher – Município de Ibirité: 120 pessoas. </w:t>
            </w:r>
          </w:p>
          <w:p>
            <w:pPr>
              <w:spacing w:before="0" w:after="0"/>
              <w:jc w:val="both"/>
            </w:pPr>
            <w:r>
              <w:rPr>
                <w:rFonts w:ascii="Calibri" w:hAnsi="Calibri"/>
                <w:sz w:val="20"/>
              </w:rPr>
              <w:t>•</w:t>
            </w:r>
            <w:r>
              <w:rPr>
                <w:rFonts w:ascii="Calibri" w:hAnsi="Calibri"/>
                <w:sz w:val="20"/>
              </w:rPr>
              <w:t xml:space="preserve"> Palestra de combate e prevenção à violência doméstica: 50 pessoas. </w:t>
            </w:r>
          </w:p>
          <w:p>
            <w:pPr>
              <w:spacing w:before="0" w:after="0"/>
              <w:jc w:val="both"/>
            </w:pPr>
            <w:r>
              <w:rPr>
                <w:rFonts w:ascii="Calibri" w:hAnsi="Calibri"/>
                <w:sz w:val="20"/>
              </w:rPr>
              <w:t>•</w:t>
            </w:r>
            <w:r>
              <w:rPr>
                <w:rFonts w:ascii="Calibri" w:hAnsi="Calibri"/>
                <w:sz w:val="20"/>
              </w:rPr>
              <w:t xml:space="preserve"> Assinatura do Acordo de Cooperação Técnica entre o Município de Contagem e o TJMG: 70 pessoas. </w:t>
            </w:r>
          </w:p>
          <w:p>
            <w:pPr>
              <w:spacing w:before="0" w:after="0"/>
              <w:jc w:val="both"/>
            </w:pPr>
            <w:r>
              <w:rPr>
                <w:rFonts w:ascii="Calibri" w:hAnsi="Calibri"/>
                <w:sz w:val="20"/>
              </w:rPr>
              <w:t>•</w:t>
            </w:r>
            <w:r>
              <w:rPr>
                <w:rFonts w:ascii="Calibri" w:hAnsi="Calibri"/>
                <w:sz w:val="20"/>
              </w:rPr>
              <w:t xml:space="preserve"> Roda de Conversa - Empresa Termotécnica: 80 pessoas </w:t>
            </w:r>
          </w:p>
          <w:p>
            <w:pPr>
              <w:spacing w:before="0" w:after="0"/>
              <w:jc w:val="both"/>
            </w:pPr>
            <w:r>
              <w:rPr>
                <w:rFonts w:ascii="Calibri" w:hAnsi="Calibri"/>
                <w:sz w:val="20"/>
              </w:rPr>
              <w:t>•</w:t>
            </w:r>
            <w:r>
              <w:rPr>
                <w:rFonts w:ascii="Calibri" w:hAnsi="Calibri"/>
                <w:sz w:val="20"/>
              </w:rPr>
              <w:t xml:space="preserve"> 7 palestras realizadas no âmbito do projeto Construindo Igualdades: 495 pessoas. </w:t>
            </w:r>
          </w:p>
          <w:p>
            <w:pPr>
              <w:spacing w:before="0" w:after="0"/>
              <w:jc w:val="both"/>
            </w:pPr>
            <w:r>
              <w:rPr>
                <w:rFonts w:ascii="Calibri" w:hAnsi="Calibri"/>
                <w:sz w:val="20"/>
              </w:rPr>
              <w:t>•</w:t>
            </w:r>
            <w:r>
              <w:rPr>
                <w:rFonts w:ascii="Calibri" w:hAnsi="Calibri"/>
                <w:sz w:val="20"/>
              </w:rPr>
              <w:t xml:space="preserve"> Agosto Lilás: Capacitação Integrada em Rede de Proteção em Pedro Leopoldo: 50 pessoas. Há uma expectativa de conclusão da meta, considerando o evento realizado na Praça da Estação, no Centro de Belo Horizonte, a 2ª edição do "Espaço D'Elas" e a 1ª do "Nascentes" em parceria com a Coordenadoria da Infância e da Juventude (Coinj), ainda em apuração, bem como as demais ações a serem executadas no restante do ano.</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1.17</w:t>
            </w:r>
            <w:r>
              <w:rPr>
                <w:rFonts w:ascii="Calibri" w:hAnsi="Calibri"/>
                <w:sz w:val="18"/>
              </w:rPr>
              <w:t xml:space="preserve"> - Taxa de aumento no número de municípios que promovem o Programa Descubra.</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143</w:t>
            </w:r>
            <w:r>
              <w:rPr>
                <w:rFonts w:ascii="Calibri" w:hAnsi="Calibri"/>
                <w:sz w:val="18"/>
              </w:rPr>
              <w:t xml:space="preserve"> - Aumentar, até 18/12/2025, em pelo menos 10% (dez por cento) o número de municípios que promovem o Programa Descubra (referência março/2025: 21 municípios).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COINJ</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4,7</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Durante o ano de 2025, 1 município (Ouro Preto) formalizou sua adesão ao Programa Descubra, valor este que representa 4,7% de aumento em relação ao ano anterior, de forma que a meta proposta ainda não foi alcançada. Apesar disso, ressalta-se a expectativa de formalização da adesão de outros 13 municípios até final de novembro de 2025, o que representará um aumento de 66%, acima da meta estabelecida para o ano.</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1.18</w:t>
            </w:r>
            <w:r>
              <w:rPr>
                <w:rFonts w:ascii="Calibri" w:hAnsi="Calibri"/>
                <w:sz w:val="18"/>
              </w:rPr>
              <w:t xml:space="preserve"> - Número de parceiros cadastrados no Programa Descubra.</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144</w:t>
            </w:r>
            <w:r>
              <w:rPr>
                <w:rFonts w:ascii="Calibri" w:hAnsi="Calibri"/>
                <w:sz w:val="18"/>
              </w:rPr>
              <w:t xml:space="preserve"> - Obter, até 18/12/2025, pelo menos 10 (dez) parceiros cadastrados no Programa Descubra.</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COINJ</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2</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Em 2025, 2 parceiros foram formalmente cadastrados no Programa Descubra, sendo eles a empresa Barra Sete Engenharia e a Associação Junior Achievement de Minas Gerais. Há, ainda, a expectativa de formalização de mais 4 parceiros no mês de outubro de 2025, sendo eles: Tribunal de Contas do Estado - TCE, Ordem dos Advogados do Brasil – OAB, Polícia Militar de Minas Gerais - PMMG e Polícia Civil de Minas Gerais - PCMG. Nesse sentido, a estimativa é de que a meta prevista seja concluída com 6 parceiros formalizados, de um total de 10 previstos, de forma que a meta não seria alcançada em 2025.</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1.19</w:t>
            </w:r>
            <w:r>
              <w:rPr>
                <w:rFonts w:ascii="Calibri" w:hAnsi="Calibri"/>
                <w:sz w:val="18"/>
              </w:rPr>
              <w:t xml:space="preserve"> - Número de pessoas beneficiadas com as ações de impacto sociail fomentadas pela COINJ.</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145</w:t>
            </w:r>
            <w:r>
              <w:rPr>
                <w:rFonts w:ascii="Calibri" w:hAnsi="Calibri"/>
                <w:sz w:val="18"/>
              </w:rPr>
              <w:t xml:space="preserve"> - Beneficiar, até 18/12/2025, pelo menos 250.000 (duzentas e cinquenta mil) pessoas com as ações de impacto social fomentadas pela COINJ.</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COINJ</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106.177</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Até setembro de 2025, 106.177 pessoas foram beneficiadas com ações de impacto social promovidas pela COINJ, sendo: </w:t>
            </w:r>
          </w:p>
          <w:p>
            <w:pPr>
              <w:spacing w:before="0" w:after="0"/>
              <w:jc w:val="both"/>
            </w:pPr>
            <w:r>
              <w:rPr>
                <w:rFonts w:ascii="Calibri" w:hAnsi="Calibri"/>
                <w:sz w:val="20"/>
              </w:rPr>
              <w:t>•</w:t>
            </w:r>
            <w:r>
              <w:rPr>
                <w:rFonts w:ascii="Calibri" w:hAnsi="Calibri"/>
                <w:sz w:val="20"/>
              </w:rPr>
              <w:t xml:space="preserve">144 pessoas alcançadas pelo Programa Entrega Legal (72 mães e 72 recém nascidos); </w:t>
            </w:r>
          </w:p>
          <w:p>
            <w:pPr>
              <w:spacing w:before="0" w:after="0"/>
              <w:jc w:val="both"/>
            </w:pPr>
            <w:r>
              <w:rPr>
                <w:rFonts w:ascii="Calibri" w:hAnsi="Calibri"/>
                <w:sz w:val="20"/>
              </w:rPr>
              <w:t>•</w:t>
            </w:r>
            <w:r>
              <w:rPr>
                <w:rFonts w:ascii="Calibri" w:hAnsi="Calibri"/>
                <w:sz w:val="20"/>
              </w:rPr>
              <w:t xml:space="preserve">1.516 crianças beneficiadas com a realização de sessões de Depoimento Especial; </w:t>
            </w:r>
          </w:p>
          <w:p>
            <w:pPr>
              <w:spacing w:before="0" w:after="0"/>
              <w:jc w:val="both"/>
            </w:pPr>
            <w:r>
              <w:rPr>
                <w:rFonts w:ascii="Calibri" w:hAnsi="Calibri"/>
                <w:sz w:val="20"/>
              </w:rPr>
              <w:t>•</w:t>
            </w:r>
            <w:r>
              <w:rPr>
                <w:rFonts w:ascii="Calibri" w:hAnsi="Calibri"/>
                <w:sz w:val="20"/>
              </w:rPr>
              <w:t xml:space="preserve">176 pessoas sensibilizadas pelo programa Família Acolhedora, resultando no cadastro e habilitação de 89 famílias e outras 87 famílias em processo de habilitação; </w:t>
            </w:r>
          </w:p>
          <w:p>
            <w:pPr>
              <w:spacing w:before="0" w:after="0"/>
              <w:jc w:val="both"/>
            </w:pPr>
            <w:r>
              <w:rPr>
                <w:rFonts w:ascii="Calibri" w:hAnsi="Calibri"/>
                <w:sz w:val="20"/>
              </w:rPr>
              <w:t>•</w:t>
            </w:r>
            <w:r>
              <w:rPr>
                <w:rFonts w:ascii="Calibri" w:hAnsi="Calibri"/>
                <w:sz w:val="20"/>
              </w:rPr>
              <w:t xml:space="preserve">1.982 crianças e adolescentes em situação de acolhimento institucional participantes de atividades diversas, como cineclube promovido pelo TJMG, visitas a museus, teatro, zoológicos, entre outras atividades culturais; </w:t>
            </w:r>
          </w:p>
          <w:p>
            <w:pPr>
              <w:spacing w:before="0" w:after="0"/>
              <w:jc w:val="both"/>
            </w:pPr>
            <w:r>
              <w:rPr>
                <w:rFonts w:ascii="Calibri" w:hAnsi="Calibri"/>
                <w:sz w:val="20"/>
              </w:rPr>
              <w:t>•</w:t>
            </w:r>
            <w:r>
              <w:rPr>
                <w:rFonts w:ascii="Calibri" w:hAnsi="Calibri"/>
                <w:sz w:val="20"/>
              </w:rPr>
              <w:t xml:space="preserve">500 magistrados participantes de Fóruns da Infância e Juventude; </w:t>
            </w:r>
          </w:p>
          <w:p>
            <w:pPr>
              <w:spacing w:before="0" w:after="0"/>
              <w:jc w:val="both"/>
            </w:pPr>
            <w:r>
              <w:rPr>
                <w:rFonts w:ascii="Calibri" w:hAnsi="Calibri"/>
                <w:sz w:val="20"/>
              </w:rPr>
              <w:t>•</w:t>
            </w:r>
            <w:r>
              <w:rPr>
                <w:rFonts w:ascii="Calibri" w:hAnsi="Calibri"/>
                <w:sz w:val="20"/>
              </w:rPr>
              <w:t xml:space="preserve">382 adolescentes com contrato de aprendizagem formalizados no âmbito do Programa Descubra; </w:t>
            </w:r>
          </w:p>
          <w:p>
            <w:pPr>
              <w:spacing w:before="0" w:after="0"/>
              <w:jc w:val="both"/>
            </w:pPr>
            <w:r>
              <w:rPr>
                <w:rFonts w:ascii="Calibri" w:hAnsi="Calibri"/>
                <w:sz w:val="20"/>
              </w:rPr>
              <w:t>•</w:t>
            </w:r>
            <w:r>
              <w:rPr>
                <w:rFonts w:ascii="Calibri" w:hAnsi="Calibri"/>
                <w:sz w:val="20"/>
              </w:rPr>
              <w:t xml:space="preserve">3 adolescentes admitidos por empresas parceiras do Programa Jovens Parceiros; </w:t>
            </w:r>
          </w:p>
          <w:p>
            <w:pPr>
              <w:spacing w:before="0" w:after="0"/>
              <w:jc w:val="both"/>
            </w:pPr>
            <w:r>
              <w:rPr>
                <w:rFonts w:ascii="Calibri" w:hAnsi="Calibri"/>
                <w:sz w:val="20"/>
              </w:rPr>
              <w:t>•</w:t>
            </w:r>
            <w:r>
              <w:rPr>
                <w:rFonts w:ascii="Calibri" w:hAnsi="Calibri"/>
                <w:sz w:val="20"/>
              </w:rPr>
              <w:t xml:space="preserve">250 participantes, entre parceiros institucionais, crianças e adolescentes acolhidos e em situação de vulnerabilidade social, em ação voltada à proteção de mulheres, crianças e adolescentes, do evento “Praça da Estação” – Projetos "Espaço D'Elas" e "Nascentes"; </w:t>
            </w:r>
          </w:p>
          <w:p>
            <w:pPr>
              <w:spacing w:before="0" w:after="0"/>
              <w:jc w:val="both"/>
            </w:pPr>
            <w:r>
              <w:rPr>
                <w:rFonts w:ascii="Calibri" w:hAnsi="Calibri"/>
                <w:sz w:val="20"/>
              </w:rPr>
              <w:t>•</w:t>
            </w:r>
            <w:r>
              <w:rPr>
                <w:rFonts w:ascii="Calibri" w:hAnsi="Calibri"/>
                <w:sz w:val="20"/>
              </w:rPr>
              <w:t xml:space="preserve">314 pessoas certificadas pelo webinário Entrega Legal; </w:t>
            </w:r>
          </w:p>
          <w:p>
            <w:pPr>
              <w:spacing w:before="0" w:after="0"/>
              <w:jc w:val="both"/>
            </w:pPr>
            <w:r>
              <w:rPr>
                <w:rFonts w:ascii="Calibri" w:hAnsi="Calibri"/>
                <w:sz w:val="20"/>
              </w:rPr>
              <w:t>•</w:t>
            </w:r>
            <w:r>
              <w:rPr>
                <w:rFonts w:ascii="Calibri" w:hAnsi="Calibri"/>
                <w:sz w:val="20"/>
              </w:rPr>
              <w:t xml:space="preserve">325 pessoas participantes de evento de apresentação do programa Descubra, resultando na formalização da Assprom e da Junior Achievement como parceiros do Programa e do TJMG como instituição concedente de práticas; </w:t>
            </w:r>
          </w:p>
          <w:p>
            <w:pPr>
              <w:spacing w:before="0" w:after="0"/>
              <w:jc w:val="both"/>
            </w:pPr>
            <w:r>
              <w:rPr>
                <w:rFonts w:ascii="Calibri" w:hAnsi="Calibri"/>
                <w:sz w:val="20"/>
              </w:rPr>
              <w:t>•</w:t>
            </w:r>
            <w:r>
              <w:rPr>
                <w:rFonts w:ascii="Calibri" w:hAnsi="Calibri"/>
                <w:sz w:val="20"/>
              </w:rPr>
              <w:t xml:space="preserve">725 pessoas alcançadas por vídeos do programa “Justiça em Questão” e do “Programa Interlocução” que trataram da edição especial em comemoração ao Dia Nacional da Adoção, da celebração dos 35 anos do Estatuto da Criança e do Adolescente – ECA, além do tema “Escuta protegida de crianças e adolescentes em situação de violência”; </w:t>
            </w:r>
          </w:p>
          <w:p>
            <w:pPr>
              <w:spacing w:before="0" w:after="0"/>
              <w:jc w:val="both"/>
            </w:pPr>
            <w:r>
              <w:rPr>
                <w:rFonts w:ascii="Calibri" w:hAnsi="Calibri"/>
                <w:sz w:val="20"/>
              </w:rPr>
              <w:t>•</w:t>
            </w:r>
            <w:r>
              <w:rPr>
                <w:rFonts w:ascii="Calibri" w:hAnsi="Calibri"/>
                <w:sz w:val="20"/>
              </w:rPr>
              <w:t xml:space="preserve">600 pessoas alcançadas com a publicação do livro “Travessias da Infância e Juventude”; </w:t>
            </w:r>
          </w:p>
          <w:p>
            <w:pPr>
              <w:spacing w:before="0" w:after="0"/>
              <w:jc w:val="both"/>
            </w:pPr>
            <w:r>
              <w:rPr>
                <w:rFonts w:ascii="Calibri" w:hAnsi="Calibri"/>
                <w:sz w:val="20"/>
              </w:rPr>
              <w:t>•</w:t>
            </w:r>
            <w:r>
              <w:rPr>
                <w:rFonts w:ascii="Calibri" w:hAnsi="Calibri"/>
                <w:sz w:val="20"/>
              </w:rPr>
              <w:t>99.260 pessoas alcançadas pela realização de campanhas de adoção em estádios de futebol (Cruzeiro x Atlético (18/05) e Atlético x Corinthians (24/05)).</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1.20</w:t>
            </w:r>
            <w:r>
              <w:rPr>
                <w:rFonts w:ascii="Calibri" w:hAnsi="Calibri"/>
                <w:sz w:val="18"/>
              </w:rPr>
              <w:t xml:space="preserve"> - Taxa de execução das entregas previstas na iniciativa Fóruns Dgitais.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131</w:t>
            </w:r>
            <w:r>
              <w:rPr>
                <w:rFonts w:ascii="Calibri" w:hAnsi="Calibri"/>
                <w:sz w:val="18"/>
              </w:rPr>
              <w:t xml:space="preserve"> - Executar 100% (cem por cento) das entregas relativas à validação do fluxo de implantação dos Fóruns Digitais e à alteração da Resolução 1.061/2023.</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SEGOVE</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0</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86</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TJMG 131 previu concluir, até dezembro de 2025, as entregas relativas à validação do fluxo de implantação dos Fóruns Digitais e à alteração da Resolução 1.061/2023 (Dispõe sobre a criação, a estrutura e o funcionamento dos Fóruns e CEJUSCs Digitais, no Poder Judiciário de Minas Gerais). Até agosto de 2025, nenhuma das duas entregas havia sido concluída, embora apresentem um estágio de desenvolvimento avançado, de forma que o valor apurado da meta até o período foi de 0%. Em relação à “alteração da Resolução 1.061/2023”, foi elaborada uma minuta de alteração do normativo, que está em análise pela Secretaria de Governança e Gestão Estratégica – SEGOVE, para, então, ser submetida à aprovação do Órgão Especial do TJMG para sua posterior publicação. Em relação à entrega de “validação do fluxo de implantação dos Fóruns Digitais”, uma primeira versão foi elaborada pelo CEPROC em 2024 e submetida à análise das unidades responsáveis, para proposição de adequações. O retorno das áreas se prolongou mais do que o previsto, implicando atraso na conclusão da entrega. Em junho de 2025, as tratativas foram retomadas em reunião entre o CEPROC e as unidades, ocasião em que se identificou a necessidade de novos ajustes e melhor detalhamento do fluxo. As correções solicitadas pelas áreas já foram realizadas e a nova versão foi submetida em agosto para validação da Secretaria de Governança e Gestão Estratégica – SEGOVE. Aguarda-se retorno para que a entrega seja dada como concluída.</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3.19</w:t>
            </w:r>
            <w:r>
              <w:rPr>
                <w:rFonts w:ascii="Calibri" w:hAnsi="Calibri"/>
                <w:sz w:val="18"/>
              </w:rPr>
              <w:t xml:space="preserve"> - Taxa de cumprimento das atividades previstas para o ano vigente na iniciativa "Plano de estruturação organizacional para a produtividade na prestação jurisdicional".</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17</w:t>
            </w:r>
            <w:r>
              <w:rPr>
                <w:rFonts w:ascii="Calibri" w:hAnsi="Calibri"/>
                <w:sz w:val="18"/>
              </w:rPr>
              <w:t xml:space="preserve"> - Executar, até dezembro de 2025, 70% (setenta por cento) dos marcos previstos para o ano na iniciativa "Plano de estruturação organizacional para a produtividade na prestação jurisdicional".</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SEGOVE</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83,3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21</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“TJMG 17” previu a execução, até dezembro de 2025, 70% (setenta por cento) dos marcos previstos para o ano na iniciativa "Plano de estruturação organizacional para a produtividade na prestação jurisdicional". Para 2025, o escopo inicialmente aprovado previu a conclusão de 6 entregas, sendo elas relativas ao (à): (1) Elaboração de minuta de Resolução que dispõe sobre os critérios para a lotação dos cargos de Assessor de Juiz, de Assistente de Juiz e das funções de confiança de assessoramento da Direção do Foro do Quadro de Cargos de Provimento em Comissão e de Funções de Confiança do Poder Judiciário; (2) Transferência do 29º cargo de Juiz de Direito do Juizado Especial (JESP) Cível para o JESP da Fazenda da Comarca de Belo Horizonte; (3) Alteração de competência de Varas da Comarca de Lavras; (4) Alteração de Competência de Varas Cíveis e de Família da Comarca de Ipatinga; (5) Alteração de Competência da Vara Empresarial, da Fazenda Pública e Autarquias, de Registros Públicos da Comarca de Ribeirão das Neves para Vara Empresarial, da Fazenda Pública e Autarquias, de Registros Públicos e de Acidentes do Trabalho da Comarca de Ribeirão das Neves; (6) Desinstalação do Ofício do 3º Tabelionato de Notas da Comarca de Ituiutaba. Dessas, até agosto, somente a primeira entrega ainda não havia sido concluída, num total de 5 entregas de 6 concluídas, valor que representa um resultado de 83% na meta estabelecida para o ano.</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3.32</w:t>
            </w:r>
            <w:r>
              <w:rPr>
                <w:rFonts w:ascii="Calibri" w:hAnsi="Calibri"/>
                <w:sz w:val="18"/>
              </w:rPr>
              <w:t xml:space="preserve"> - Taxa de execução das atividades do Programa de Desenvolvimento da Atuação do Centro de Inteligência da Justiça de Minas Gerais.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80</w:t>
            </w:r>
            <w:r>
              <w:rPr>
                <w:rFonts w:ascii="Calibri" w:hAnsi="Calibri"/>
                <w:sz w:val="18"/>
              </w:rPr>
              <w:t xml:space="preserve"> - Concluir, até dezembro de 2025, 100% (cem por cento) das atividades previstas para o ano no Programa de Desenvolvimento da Atuação do Centro de Inteligência da Justiça de Minas Gerais.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SEGOVE</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33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68</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Visando o cumprimento da meta “TJMG 80 - Concluir, até dezembro de 2025, 100% (cem por cento) das atividades previstas para o ano no Programa de Desenvolvimento da Atuação do Centro de Inteligência da Justiça de Minas Gerais”, foram estabelecidas 12 (doze) atividades a serem cumpridas no decorrer do ano de 2025. Até o mês de julho de 2025 a iniciativa concluiu 4 (quatro) atividades que culminaram em duas grandes entregas. A primeira entrega foi o Acordo de Cooperação Técnica com a Procuradoria Geral do Município de Belo Horizonte - PGM e a segunda, denominada de Colaboração Projeto 1ª Vice SOMA, envolveu a participação de membros do CIJMG na capacitação e no fortalecimento das práticas gerenciais da 1ª Vice-Presidência, em especial, com relação às atribuições e realizações do Centro de Inteligência que podem auxiliar de forma relevante a prestação jurisdicional na segunda instância. Dessa forma, o cumprimento a meta alcançou o percentual de apuração de 33% até a data do último monitoramento. No entanto, vale destacar que várias atividades estão previstas paras serem executadas nos meses finais do ano.</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3.34</w:t>
            </w:r>
            <w:r>
              <w:rPr>
                <w:rFonts w:ascii="Calibri" w:hAnsi="Calibri"/>
                <w:sz w:val="18"/>
              </w:rPr>
              <w:t xml:space="preserve"> - Número de atos proferidos, em processos cíveis e criminais, em caráter de cooperação no Programa Pontualidade 5.0.</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85</w:t>
            </w:r>
            <w:r>
              <w:rPr>
                <w:rFonts w:ascii="Calibri" w:hAnsi="Calibri"/>
                <w:sz w:val="18"/>
              </w:rPr>
              <w:t xml:space="preserve"> - Proferir, em 2025, 60.000 (sessenta mil) atos de cooperação (audiências, júri, sentenças, decisões, despachos), em processos cíveis e criminais, em caráter de cooperação no Programa Pontualidade 5.0.</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Presidência</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51.638</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06</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Entre janeiro e agosto de 2025, foram proferidos 51.638 atos jurisdicionais em caráter de cooperação, sendo: cooperação, sendo: 12.267 atos relacionados ao Programa Justiça Eficiente – PROJEF; 19.266 atos no Núcleo de Justiça 4.0 – Cível, 10 atos no Núcleo de Justiça 4.0 – Juízado Especial, 1.839 atos no Núcleo de Justiça 4.0 – Criminal, 10.605 atos Núcleo de Justiça 4.0 - Cooperação Judiciária, 4.737 atos na Central de Execução de Medida de Segurança 4.0 – Cemes*, 2.424 atos no Núcleo de Justiça 4.0 – Fazendário, 109 atos na Turma Recursal. Além disso, foram proferidos 466.699 atos de secretaria, em caráter de cooperação. *Sabe-se da existência de inconsistência nas informações prestadas pela gerente da Central de Execução de Medida de Segurança 4.0 – CEMES. Em março de 2025, houve a expansão da atuação do “Núcleo de Justiça 4.0 – Cível” (Portaria nº 7129/PR/2025), que passou a processar e julgar ações: cujos assuntos correspondem a revisionais de contratos bancários, empréstimos consignados, cartão de crédito, tarifas, capitalização/anatocismo, revisão de juros remuneratórios e correlatos; Que possuam assuntos correlatos à inclusão indevida em cadastros de proteção ao crédito, plataformas de acordo/renegociação de débitos ou que envolvam "score" do consumidor; De busca e apreensão em alienação fiduciária; e em produção antecipada de provas (classe), nas referidas matérias. Com essa cooperação, estima-se assegurar a equivalência de carga de trabalho para magistrados, além de reduzir as taxas de congestionamento processual e atender às metas do Conselho Nacional de Justiça - CNJ. Em abril de 2025 foi instituído o "Núcleo de Justiça 4.0 - Juizado Especial" (Portaria nº 1655/PR/2025), o qual iniciou a cooperação em julho de 2025. Conforme Portaria nº 7203/PR/2025, este Núcleo atuará em ações: que tramitam pelo procedimento especial (Leis nº 9.099/1995 - Dispõe sobre os Juizados Especiais Cíveis e Criminais, e Lei nº 12.153/2009 - Dispõe sobre os Juizados Especiais da Fazenda Pública no âmbito dos Estados); Cujos assuntos correspondem a revisionais de contratos bancários, empréstimos consignados, cartão de crédito, tarifas, capitalização/anatocismo, revisão de juros remuneratórios e correlatos, com as instituições financeiras no polo passivo; e Que possuam assuntos correlatos à inclusão indevida em cadastros de proteção ao crédito, plataformas de acordo/renegociação de débitos ou que envolvam "score" do consumidor. Haverá cooperação em comarcas que têm sobrecarga de trabalho e onde não há unidade jurisdicional instalada ou juízes titulares ou com designação exclusiva. Os magistrados estão realizando a triagem dos processos e, na sequência, os remeterão ao Núcleo. Outra mudança diz respeito ao “Núcleo de Justiça 4.0 – Cooperação Judiciária”, que até então atuava exclusivamente nas ações individuais relacionadas à ruptura das barragens em Brumadinho. Tendo em vista que a maioria desses processos já está na fase de sentença, houve a expansão da atuação do Núcleo para processar e julgar ações previdenciárias de competência delegada da Justiça Federal. Continua em andamento no âmbito do “Núcleo de Justiça 4.0 – Fazenda Pública”, a cooperação para extinção de execuções fiscais que possuem valor da causa até R$ 10 mil e que não tenham movimentação útil há mais de um ano, nos termos da Resolução nº 547, do CNJ, e do Tema 1.184, do Supremo Tribunal Federal (STF). Os trabalhos contam com o uso de um robô que automatiza a triagem de processos.</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3.57</w:t>
            </w:r>
            <w:r>
              <w:rPr>
                <w:rFonts w:ascii="Calibri" w:hAnsi="Calibri"/>
                <w:sz w:val="18"/>
              </w:rPr>
              <w:t xml:space="preserve"> - Número de Comarcas com a competência delegada nas ações previdenciárias e execuções fiscais cessada.</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128</w:t>
            </w:r>
            <w:r>
              <w:rPr>
                <w:rFonts w:ascii="Calibri" w:hAnsi="Calibri"/>
                <w:sz w:val="18"/>
              </w:rPr>
              <w:t xml:space="preserve"> - Cessar a competência delegada nas ações previdenciárias e execuções fiscais em pelo menos 40 (quarenta) comarcas até dezembro de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Presidência</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44</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91</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TJMG 128 previa a cessação da competência delegada nas ações previdenciárias e execuções fiscais em pelo menos 2 (duas) Comarcas até dezembro de 2025, em decorrência de UAA instalada em Comarca do TJMG. Contudo, a meta foi revista tendo em vista tanto a ampliação do escopo do projeto quanto a nova perspectiva temporal para comunicação dos resultados da política, que passou a considerar todas as Comarcas que tiveram a competência delegada cessada desde a publicação da Resolução PRESI 2/2024, que “Regulamenta a criação, a instalação e o funcionamento das Unidades Avançadas de Atendimento da Justiça Federal da 6ª Região – UAA” até o período analisado, independente se a cessação ocorreu em decorrência de UAA instalada em parceria com o TJMG, em Comarca, ou em parceria com prefeitura em municípios diversos. Foi proposta a revisão da meta para TJMG 128 - Cessar a competência delegada nas ações previdenciárias e execuções fiscais em pelo menos 40 comarcas até dezembro de 2025. Considerada a nova meta, verifica-se que até outubro de 2025, 44 comarcas tiveram a competência delegada cessada, representando 110% de cumprimento da meta. Sendo em 2024, 18 Comarcas: Águas Formosas; Almenara; Araçuaí; Capelinha; Carangola; Carlos Chagas; Corinto; Curvelo; Diamantina; Jacinto; Jequitinhonha; Malacacheta; Medina; Mutum; Nanuque; Novo Cruzeiro; Pedra Azul e Serro Patrocínio como projeto piloto. Em 2025 já foram cessadas competências delegadas em 25 Comarcas, sendo: 15 comarcas em decorrência de UAA instalada em Comarcas do TJMG – Monte Carmelo, Nova Ponte, Minas Novas, Turmalina, Januária, Manga, Montalvânia, Boa Esperança, Candeias, Taiobeiras, Rio Pardo de Minas, São João do Paraíso, João Pinheiro, Coração de Jesus e Brasília de Minas, e em 10 comarcas em decorrência de UAA instaladas em parceria com outros parceiros (prefeituras), Araguari; Barão de Cocais; Divino; Estrela do Sul; Guaxupé; Itabira; Monte Belo; Muzambinho; Santa Bárbara; e Tupaciguara.</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3.58</w:t>
            </w:r>
            <w:r>
              <w:rPr>
                <w:rFonts w:ascii="Calibri" w:hAnsi="Calibri"/>
                <w:sz w:val="18"/>
              </w:rPr>
              <w:t xml:space="preserve"> - Número de Grupos Jurisdicionais das Turmas Recursais do TJMG com Central de Processos Eletrônicos - CPE de Turmas Recursais implantada.</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130</w:t>
            </w:r>
            <w:r>
              <w:rPr>
                <w:rFonts w:ascii="Calibri" w:hAnsi="Calibri"/>
                <w:sz w:val="18"/>
              </w:rPr>
              <w:t xml:space="preserve"> - Implantar a Central de Processos Eletrônicos (CPE) em 13 (treze) Grupos Jurisdicionais das Turmas Recursais do Tribunal de Justiça de Minas Gerais, no ano de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SEGOVE</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10</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85</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TJMG 130 prevê a implantação da CPE em 13 (treze) Grupos Jurisdicionais da Turmas Recursais do Tribunal de Justiça de Minas Gerais, no ano de 2025. Desse total, 10 foram concluídos até outubro de 2025: Grupo Jurisdicional de Conselheiro Lafaiete, Uberlândia, Uberaba e Araguari, Passos, Paracatu, Divinópolis, Ipatinga, Varginha e Lavras. Além disso, ainda estão previstas para 2025 a implantação em mais 19 Grupos Jurisdicionais, motivo pelo qual estima-se que a meta seja alcançada. No entanto, destaca-se que o plano de implantação da CPE nos Grupos Jurisdicionais pode variar consideravelmente, tendo em vista que estão diretamente relacionadas com a disponibilidade da Presidência do TJMG para a realização da solenidade e à complexidade das tratativas necessárias à implantação.</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3.60</w:t>
            </w:r>
            <w:r>
              <w:rPr>
                <w:rFonts w:ascii="Calibri" w:hAnsi="Calibri"/>
                <w:sz w:val="18"/>
              </w:rPr>
              <w:t xml:space="preserve"> - Número de unidades judiciárias previstos para o ano vigente implantados.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133</w:t>
            </w:r>
            <w:r>
              <w:rPr>
                <w:rFonts w:ascii="Calibri" w:hAnsi="Calibri"/>
                <w:sz w:val="18"/>
              </w:rPr>
              <w:t xml:space="preserve"> - Instalar, em 2025, o eproc nas unidades da justiça comum e especial com competência cível de Belo Horizonte, e nas Câmaras do Tribunal de Justiça com competências originárias da segunda instância, Mandado de Segurança, Rescisória e Reclamação.</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DIRTEC</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100</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87</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Durante a estruturação do Planejamento Estratégico para 2025, a meta estratégica TJMG 133 previu “Instalar, em 2025, o eproc nas demais unidades da justiça comum e especial com competência cível do Município de Belo Horizonte, incluindo a Turma Recursal Temporária de Belo Horizonte, Betim e Contagem, bem como nas Câmaras do Tribunal de Justiça com competências originárias da Segunda Instância (Mandado de Segurança, Rescisória e Reclamação), relativas ao Direito Público e Privado”. Entretanto, o cronograma dos ciclos de expansão previstos para o ano - os quais foram estabelecidos por meio da publicação das portarias: Portaria Conjunta nº 1.635/PR/2025 (1° ciclo); Portaria Conjunta nº 1.645/PR/2025 (2º Ciclo); Portaria Conjunta nº 1.659/PR/2025 (3º Ciclo); Portaria Conjunta nº 1.668/PR/2025 (4º Ciclo), e; Portaria Conjunta nº 1.710/PR/2025 (5º Ciclo) - considerou, além das unidades judiciárias com competência cível de Belo Horizonte, o tratamento de competências e atos em específicos, ampliando o universo de trabalho inicialmente previsto. Nesse sentido, como forma melhor comunicar o trabalho realizado ao longo do ano, propõe-se a alteração da meta aprovada para “concluir, em 2025, 100% dos ciclos de expansão previstos para a instalação do sistema eproc nas demais unidades da justiça comum e especial, com competência cível, do município de Belo Horizonte, incluindo a Turma Recursal Temporária de Belo Horizonte, Betim e Contagem, bem como nas Câmaras do Tribunal de Justiça com competências originárias da segunda instância, Mandado de Segurança, Rescisória e Reclamações, relativas ao Direito Público e Privado”. Até setembro de 2025, os cincos ciclos de expansão previsto para o ano foram concluídos, de modo que o resultado apurado da nova meta proposta é de 100%.</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9.13</w:t>
            </w:r>
            <w:r>
              <w:rPr>
                <w:rFonts w:ascii="Calibri" w:hAnsi="Calibri"/>
                <w:sz w:val="18"/>
              </w:rPr>
              <w:t xml:space="preserve"> - Taxa de entregas realizadas pelo UAI-Lab previstas no Programa Inova TJMG.</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62</w:t>
            </w:r>
            <w:r>
              <w:rPr>
                <w:rFonts w:ascii="Calibri" w:hAnsi="Calibri"/>
                <w:sz w:val="18"/>
              </w:rPr>
              <w:t xml:space="preserve"> - Cumprir, até dezembro de 2025, 100% (cem por cento) das entregas previstas, para o ano, no Programa INOVA TJMG.</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NUGIN</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92,13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43</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A meta da iniciativa 43 - Programa INOVA TJMG é cumprir até dezembro de 2025, 100% das entregas previstas para o ano de 2025. Das 18 entregas previstas para 2025, 2 (duas) entregas foram canceladas, 5 (cinco) estão em andamento e 11 (onze) entregas foram concluídas. O que representa o valor apurado de 85,32% até 06/10/2025. As entregas realizadas foram: </w:t>
            </w:r>
          </w:p>
          <w:p>
            <w:pPr>
              <w:spacing w:before="0" w:after="0"/>
              <w:jc w:val="both"/>
            </w:pPr>
            <w:r>
              <w:rPr>
                <w:rFonts w:ascii="Calibri" w:hAnsi="Calibri"/>
                <w:sz w:val="20"/>
              </w:rPr>
              <w:t>•</w:t>
            </w:r>
            <w:r>
              <w:rPr>
                <w:rFonts w:ascii="Calibri" w:hAnsi="Calibri"/>
                <w:sz w:val="20"/>
              </w:rPr>
              <w:t xml:space="preserve">23 iniciativas agraciadas com o Certificado Agenda 2030; </w:t>
            </w:r>
          </w:p>
          <w:p>
            <w:pPr>
              <w:spacing w:before="0" w:after="0"/>
              <w:jc w:val="both"/>
            </w:pPr>
            <w:r>
              <w:rPr>
                <w:rFonts w:ascii="Calibri" w:hAnsi="Calibri"/>
                <w:sz w:val="20"/>
              </w:rPr>
              <w:t>•</w:t>
            </w:r>
            <w:r>
              <w:rPr>
                <w:rFonts w:ascii="Calibri" w:hAnsi="Calibri"/>
                <w:sz w:val="20"/>
              </w:rPr>
              <w:t xml:space="preserve">Lançamento da cartilha ‘Você não está sozinha’ para o combate à Violência Doméstica; </w:t>
            </w:r>
          </w:p>
          <w:p>
            <w:pPr>
              <w:spacing w:before="0" w:after="0"/>
              <w:jc w:val="both"/>
            </w:pPr>
            <w:r>
              <w:rPr>
                <w:rFonts w:ascii="Calibri" w:hAnsi="Calibri"/>
                <w:sz w:val="20"/>
              </w:rPr>
              <w:t>•</w:t>
            </w:r>
            <w:r>
              <w:rPr>
                <w:rFonts w:ascii="Calibri" w:hAnsi="Calibri"/>
                <w:sz w:val="20"/>
              </w:rPr>
              <w:t xml:space="preserve">Lançamento da cartilha ‘Conectando você à Justiça’, dos Fóruns Digitais; </w:t>
            </w:r>
          </w:p>
          <w:p>
            <w:pPr>
              <w:spacing w:before="0" w:after="0"/>
              <w:jc w:val="both"/>
            </w:pPr>
            <w:r>
              <w:rPr>
                <w:rFonts w:ascii="Calibri" w:hAnsi="Calibri"/>
                <w:sz w:val="20"/>
              </w:rPr>
              <w:t>•</w:t>
            </w:r>
            <w:r>
              <w:rPr>
                <w:rFonts w:ascii="Calibri" w:hAnsi="Calibri"/>
                <w:sz w:val="20"/>
              </w:rPr>
              <w:t xml:space="preserve">Desenvolvimento de automações e de protótipos de I.A para aprimorar a eficiência operacional e apoiar os magistrados, os colaboradores e os servidores no fluxo de suas atividades diárias; </w:t>
            </w:r>
          </w:p>
          <w:p>
            <w:pPr>
              <w:spacing w:before="0" w:after="0"/>
              <w:jc w:val="both"/>
            </w:pPr>
            <w:r>
              <w:rPr>
                <w:rFonts w:ascii="Calibri" w:hAnsi="Calibri"/>
                <w:sz w:val="20"/>
              </w:rPr>
              <w:t>•</w:t>
            </w:r>
            <w:r>
              <w:rPr>
                <w:rFonts w:ascii="Calibri" w:hAnsi="Calibri"/>
                <w:sz w:val="20"/>
              </w:rPr>
              <w:t xml:space="preserve">Oficina de Inovação para Comissão de Assédio; </w:t>
            </w:r>
          </w:p>
          <w:p>
            <w:pPr>
              <w:spacing w:before="0" w:after="0"/>
              <w:jc w:val="both"/>
            </w:pPr>
            <w:r>
              <w:rPr>
                <w:rFonts w:ascii="Calibri" w:hAnsi="Calibri"/>
                <w:sz w:val="20"/>
              </w:rPr>
              <w:t>•</w:t>
            </w:r>
            <w:r>
              <w:rPr>
                <w:rFonts w:ascii="Calibri" w:hAnsi="Calibri"/>
                <w:sz w:val="20"/>
              </w:rPr>
              <w:t xml:space="preserve">Oficina de Linguagem Simples e Direito Visual para Semana Nacional dos Juizados - "Pensar, Criar e Simplificar"; </w:t>
            </w:r>
          </w:p>
          <w:p>
            <w:pPr>
              <w:spacing w:before="0" w:after="0"/>
              <w:jc w:val="both"/>
            </w:pPr>
            <w:r>
              <w:rPr>
                <w:rFonts w:ascii="Calibri" w:hAnsi="Calibri"/>
                <w:sz w:val="20"/>
              </w:rPr>
              <w:t>•</w:t>
            </w:r>
            <w:r>
              <w:rPr>
                <w:rFonts w:ascii="Calibri" w:hAnsi="Calibri"/>
                <w:sz w:val="20"/>
              </w:rPr>
              <w:t xml:space="preserve">Oficina de Linguagem Simples e Direito Visual para o Curso de Formação Inicial – CFI; </w:t>
            </w:r>
          </w:p>
          <w:p>
            <w:pPr>
              <w:spacing w:before="0" w:after="0"/>
              <w:jc w:val="both"/>
            </w:pPr>
            <w:r>
              <w:rPr>
                <w:rFonts w:ascii="Calibri" w:hAnsi="Calibri"/>
                <w:sz w:val="20"/>
              </w:rPr>
              <w:t>•</w:t>
            </w:r>
            <w:r>
              <w:rPr>
                <w:rFonts w:ascii="Calibri" w:hAnsi="Calibri"/>
                <w:sz w:val="20"/>
              </w:rPr>
              <w:t xml:space="preserve">Desenvolvido o ‘Glossário de Termos Jurídicos’ em Linguagem Simples para utilização no portal do TJMG; </w:t>
            </w:r>
          </w:p>
          <w:p>
            <w:pPr>
              <w:spacing w:before="0" w:after="0"/>
              <w:jc w:val="both"/>
            </w:pPr>
            <w:r>
              <w:rPr>
                <w:rFonts w:ascii="Calibri" w:hAnsi="Calibri"/>
                <w:sz w:val="20"/>
              </w:rPr>
              <w:t>•</w:t>
            </w:r>
            <w:r>
              <w:rPr>
                <w:rFonts w:ascii="Calibri" w:hAnsi="Calibri"/>
                <w:sz w:val="20"/>
              </w:rPr>
              <w:t xml:space="preserve">Elaborado o ‘Guia de como utilizar o Juizado Especial’ em Linguagem Simples e Direito Visual; </w:t>
            </w:r>
          </w:p>
          <w:p>
            <w:pPr>
              <w:spacing w:before="0" w:after="0"/>
              <w:jc w:val="both"/>
            </w:pPr>
            <w:r>
              <w:rPr>
                <w:rFonts w:ascii="Calibri" w:hAnsi="Calibri"/>
                <w:sz w:val="20"/>
              </w:rPr>
              <w:t>•</w:t>
            </w:r>
            <w:r>
              <w:rPr>
                <w:rFonts w:ascii="Calibri" w:hAnsi="Calibri"/>
                <w:sz w:val="20"/>
              </w:rPr>
              <w:t xml:space="preserve">Elaborado o ‘Guia de Orientações para a Audiência Virtual’ em Linguagem Simples e Direito Visual; e </w:t>
            </w:r>
          </w:p>
          <w:p>
            <w:pPr>
              <w:spacing w:before="0" w:after="0"/>
              <w:jc w:val="both"/>
            </w:pPr>
            <w:r>
              <w:rPr>
                <w:rFonts w:ascii="Calibri" w:hAnsi="Calibri"/>
                <w:sz w:val="20"/>
              </w:rPr>
              <w:t>•</w:t>
            </w:r>
            <w:r>
              <w:rPr>
                <w:rFonts w:ascii="Calibri" w:hAnsi="Calibri"/>
                <w:sz w:val="20"/>
              </w:rPr>
              <w:t>Realizado o evento Festilabs na Região Sudeste.</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9.25</w:t>
            </w:r>
            <w:r>
              <w:rPr>
                <w:rFonts w:ascii="Calibri" w:hAnsi="Calibri"/>
                <w:sz w:val="18"/>
              </w:rPr>
              <w:t xml:space="preserve"> - Taxa de Termos de Autorização para Ocupação emitidos.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109</w:t>
            </w:r>
            <w:r>
              <w:rPr>
                <w:rFonts w:ascii="Calibri" w:hAnsi="Calibri"/>
                <w:sz w:val="18"/>
              </w:rPr>
              <w:t xml:space="preserve"> - Emitir, até 31/12/2025, Termo de Autorização de Ocupação - TAO ou, quando não houver ocupação, Termo de Recebimento Provisório - TRP, para pelo menos 70% (setenta por cento) das obras previstas no para o ano no Plano de Obras.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DENGEP</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30,3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20</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Para fins de mensuração da meta TJMG 109, foi definido um universo de 33 obras para o ano de 2025, conforme o indicado no campo “escopo” deste relatório. Até agosto, 10 obras foram concluídas, correspondendo a um valor apurado de 30,3%. Dessas, 9 obras disseram respeito à construção ou ampliação de Fóruns e, por isso, foram concluídas a partir da emissão do “Termo de Autorização para Ocupação - TAO” e 1 obra, disse respeito à reforma do Heliponto do edifício Sede, razão pela qual sua conclusão foi contabilizada a partir da emissão do “Termo de Recebimento Provisório - TRP”. São elas: </w:t>
            </w:r>
          </w:p>
          <w:p>
            <w:pPr>
              <w:spacing w:before="0" w:after="0"/>
              <w:jc w:val="both"/>
            </w:pPr>
            <w:r>
              <w:rPr>
                <w:rFonts w:ascii="Calibri" w:hAnsi="Calibri"/>
                <w:sz w:val="20"/>
              </w:rPr>
              <w:t>•</w:t>
            </w:r>
            <w:r>
              <w:rPr>
                <w:rFonts w:ascii="Calibri" w:hAnsi="Calibri"/>
                <w:sz w:val="20"/>
              </w:rPr>
              <w:t xml:space="preserve">Obras com “Termo de Autorização para Ocupação - TAO” emitidos: Bom Despacho (08/01/2025); Bom Sucesso (26/02/2025); Palma (24/02/2025); Teófilo Otoni (21/03/2025); Mateus Leme (13/05/2025); Coração de Jesus (22/05/2025); Montes Claros (22/05/2025); Pitangui (09/06/2025); Minas Novas (12/06/2025) </w:t>
            </w:r>
          </w:p>
          <w:p>
            <w:pPr>
              <w:spacing w:before="0" w:after="0"/>
              <w:jc w:val="both"/>
            </w:pPr>
            <w:r>
              <w:rPr>
                <w:rFonts w:ascii="Calibri" w:hAnsi="Calibri"/>
                <w:sz w:val="20"/>
              </w:rPr>
              <w:t>•</w:t>
            </w:r>
            <w:r>
              <w:rPr>
                <w:rFonts w:ascii="Calibri" w:hAnsi="Calibri"/>
                <w:sz w:val="20"/>
              </w:rPr>
              <w:t>Obras com “Termo de Recebimento Provisório - TRP” emitidos: BH Sede - Heliponto (16/05/2025). Para 2025, ainda está prevista a conclusão de 7 obras. Nesse sentido, estima-se que o resultado final da meta será de 51,5% de execução em dezembro de 2025. Esse percentual se justifica pelo fato de que 1 obra (Poços de Caldas) foi cancelada, tendo seu contrato rescindido em 29/05/2025 a pedido da empresa (Destak), que passa por um processo de recuperação judicial, e outras 12 obras foram replanejadas para 2026, em razão de atrasos na execução, resultando na prorrogação dos contratos mediante Termo Aditivo. Além disso, há expectativa do cancelamento de outras 3 obras: Itajubá, cuja empresa passa por um processo de recuperação judicial; BH – Olegário Maciel, cuja rescisão pode ocorrer a pedido do TJMG, em razão de descumprimento contratual por parte da empresa contratada (Consuloc); e a obra do Palácio (BH), que precisará ser adaptado para atender a especificações de órgãos como o Museu da Memória do Judiciário Mineiro (MEJUD) e a Escola Nacional de Formação e Aperfeiçoamento de Magistrados Ministro Sálvio de Figueiredo Teixeira (ENFAM).</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9.26</w:t>
            </w:r>
            <w:r>
              <w:rPr>
                <w:rFonts w:ascii="Calibri" w:hAnsi="Calibri"/>
                <w:sz w:val="18"/>
              </w:rPr>
              <w:t xml:space="preserve"> - Taxa de execução do "Programa de Modernização dos Plenários, suas Áreas Externas e dos Painéis de Comunicação”.</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123</w:t>
            </w:r>
            <w:r>
              <w:rPr>
                <w:rFonts w:ascii="Calibri" w:hAnsi="Calibri"/>
                <w:sz w:val="18"/>
              </w:rPr>
              <w:t xml:space="preserve"> - Concluir 100% (cem por cento) das entregas previstas para o “Programa de Modernização dos Plenários, suas Áreas Externas e dos Painéis de Comunicação” até dezembro de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Presidência</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86</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81</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A meta da iniciativa é “concluir 100% das entregas previstas para o “Programa de Modernização dos Plenários, suas Áreas externas de dos Painéis de Comunicação” até dezembro de 2025. Verifica-se que, até agosto de 2025, foram concluídas 25 entregas das 31 prevista para o Programa, sendo 6 em 2023, 13 em 2024 e 6 em 2025, obtendo um resultado apurado de 86%. As entregas concluídas em 2025, são: </w:t>
            </w:r>
          </w:p>
          <w:p>
            <w:pPr>
              <w:spacing w:before="0" w:after="0"/>
              <w:jc w:val="both"/>
            </w:pPr>
            <w:r>
              <w:rPr>
                <w:rFonts w:ascii="Calibri" w:hAnsi="Calibri"/>
                <w:sz w:val="20"/>
              </w:rPr>
              <w:t>•</w:t>
            </w:r>
            <w:r>
              <w:rPr>
                <w:rFonts w:ascii="Calibri" w:hAnsi="Calibri"/>
                <w:sz w:val="20"/>
              </w:rPr>
              <w:t xml:space="preserve"> Implantação dos equipamentos Audiovisuais e TIC no Auditório do Juizado Especial Cível e no Auditório do Pleno (ed. Sede). </w:t>
            </w:r>
          </w:p>
          <w:p>
            <w:pPr>
              <w:spacing w:before="0" w:after="0"/>
              <w:jc w:val="both"/>
            </w:pPr>
            <w:r>
              <w:rPr>
                <w:rFonts w:ascii="Calibri" w:hAnsi="Calibri"/>
                <w:sz w:val="20"/>
              </w:rPr>
              <w:t>•</w:t>
            </w:r>
            <w:r>
              <w:rPr>
                <w:rFonts w:ascii="Calibri" w:hAnsi="Calibri"/>
                <w:sz w:val="20"/>
              </w:rPr>
              <w:t xml:space="preserve"> Implantação de VideoWall – Auditório do Pleno. </w:t>
            </w:r>
          </w:p>
          <w:p>
            <w:pPr>
              <w:spacing w:before="0" w:after="0"/>
              <w:jc w:val="both"/>
            </w:pPr>
            <w:r>
              <w:rPr>
                <w:rFonts w:ascii="Calibri" w:hAnsi="Calibri"/>
                <w:sz w:val="20"/>
              </w:rPr>
              <w:t>•</w:t>
            </w:r>
            <w:r>
              <w:rPr>
                <w:rFonts w:ascii="Calibri" w:hAnsi="Calibri"/>
                <w:sz w:val="20"/>
              </w:rPr>
              <w:t xml:space="preserve"> Implantação do Projeto Piloto para transmissão ao vivo (streaming) das Sessões de Julgamento do Órgão Especial, utilizando a Plataforma Youtube. </w:t>
            </w:r>
          </w:p>
          <w:p>
            <w:pPr>
              <w:spacing w:before="0" w:after="0"/>
              <w:jc w:val="both"/>
            </w:pPr>
            <w:r>
              <w:rPr>
                <w:rFonts w:ascii="Calibri" w:hAnsi="Calibri"/>
                <w:sz w:val="20"/>
              </w:rPr>
              <w:t>•</w:t>
            </w:r>
            <w:r>
              <w:rPr>
                <w:rFonts w:ascii="Calibri" w:hAnsi="Calibri"/>
                <w:sz w:val="20"/>
              </w:rPr>
              <w:t xml:space="preserve"> Implantação e gerenciamento de Equipe Técnica para operacionalização dos novos equipamentos de áudio e TIC. </w:t>
            </w:r>
          </w:p>
          <w:p>
            <w:pPr>
              <w:spacing w:before="0" w:after="0"/>
              <w:jc w:val="both"/>
            </w:pPr>
            <w:r>
              <w:rPr>
                <w:rFonts w:ascii="Calibri" w:hAnsi="Calibri"/>
                <w:sz w:val="20"/>
              </w:rPr>
              <w:t>•</w:t>
            </w:r>
            <w:r>
              <w:rPr>
                <w:rFonts w:ascii="Calibri" w:hAnsi="Calibri"/>
                <w:sz w:val="20"/>
              </w:rPr>
              <w:t xml:space="preserve"> Implantação do Software de Videoconferência. Além disso, 1 entrega foi cancelada e 2 suspensas. A entrega Fluxos de trabalho decorrentes das novas tecnologias do Programa foi cancelada porque não será mais realizada nos termos em que foi planejada. Inicialmente, foi previsto que o CEPROC (Centro de Gestão de Processos de Trabalho, Padronização e Qualidade) redesenharia todos os processos de trabalho que, eventualmente, sofressem alteração em decorrência das melhorias tecnológicas implementadas para modernização dos plenários. No entanto, na prática, o que se verifica é uma atuação mais direcionada para áreas que demandam o serviço. Cabe ressaltar que a entrega, quando cancelada, não impacta o cumprimento da meta em questão. Já a entrega “Sistema para Votação Administrativa” foi suspensa. Em 2023, o processo licitatório para a aquisição do sistema foi deserto. Diante disso, deliberou-se por promover melhorias no módulo SEI Julgar para viabilizar a sua utilização pelo TJMG. Embora algumas customizações já tenham sido realizadas ao longo de 2024 e 2025, ainda restam duas funcionalidades a serem desenvolvidas, sem as quais não é possível realizar o projeto piloto: a possibilidade de disponibilizar o processo entre sessões e a manutenção exclusiva da sessão denominada "fim do mundo", com ocultação das demais. Em maio de 2025, o SEI JULGAR foi apresentado ao Secretário de Governança e Gestão Estratégica, incluindo a apresentação do esforço necessário para implementar as funcionalidades pendentes. Na ocasião, que foi deliberada a suspensão da entrega, até que seja viável a priorização da demanda pela equipe de desenvolvimento, que, no momento, está alocada em outras frentes de trabalho igualmente relevantes para a Instituição. Suspensa também, a entrega Implantação da Plataforma Youtube para transmissão ao vivo (streaming) das sessões de julgamento, tendo em vista o atraso na entrega do piloto, que prevê a expansaõ das transmissões ao vivo para as sessões do Plenários. Para expansão, aguarda-se a definição da Alta Administração quanto a estratégia para expansão (data, ordem dos Plenários, etc.) motivo pelo qual a entrega foi suspensa a pedido da SATOP ( Serviço de Apoio Técnico e Operacional de produção Audiovisual) no monitoramento de setembro de 2025. Diante da ausência de uma previsão de priorização do desenvolvimento das funcionalidades necessárias ao pleno funcionamento do módulo do SEI JULGAR em votação Administrativa e do recorrente atraso na disponibilização do QR CODE para acesso às pautas das seções de julgamento, verifica-se um risco de não alcance da meta em 2025.</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9.28</w:t>
            </w:r>
            <w:r>
              <w:rPr>
                <w:rFonts w:ascii="Calibri" w:hAnsi="Calibri"/>
                <w:sz w:val="18"/>
              </w:rPr>
              <w:t xml:space="preserve"> - Taxa de execução das etapas necessárias para a informatização do setor de precatórios do TJMG.</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126</w:t>
            </w:r>
            <w:r>
              <w:rPr>
                <w:rFonts w:ascii="Calibri" w:hAnsi="Calibri"/>
                <w:sz w:val="18"/>
              </w:rPr>
              <w:t xml:space="preserve"> - Realizar 100% (cem por cento) das etapas necessárias para a informatização do setor de precatórios do TJMG até 19/12/2025.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ASPREC</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68</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89</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TJMG 126 proposta para 2025 propôs a conclusão de 100% das etapas necessárias à informatização do setor de precatórios do TJMG até 19/12/2025, conforme o escopo proposto para iniciativa estratégica 89 para o ano. Dentre as etapas de modernização, foi prevista a implantação de um conjunto de ferramentas e soluções tecnológicas considerando tanto evoluções no que tange à gestão processual, quanto à gestão financeira dos precatórios. A meta, portanto, está intimamente ligada ao cronograma da iniciativa e reflete o percentual de avanço do projeto a partir da conclusão de suas entregas e atividades. Até agosto de 2025, o desempenho na execução da meta foi de 68%, com expectativa de alcançar 100% até o final de 2025, especialmente a partir da conclusão de atividades relacionadas à entrega “ Implantação do Sistema de Cálculos e migração de dados do SGP”, à “Migração de precatórios do SEI/SGP para o eproc 2G”, à “ Implantação e integração do OPE (Ofício Precatório Eletrônico) com o eproc” e à “ Solução de Pagamento de Precatórios”.</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10 - OTIMIZAÇÃO DA GESTÃO DE PESSOAS</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5.6</w:t>
            </w:r>
            <w:r>
              <w:rPr>
                <w:rFonts w:ascii="Calibri" w:hAnsi="Calibri"/>
                <w:sz w:val="18"/>
              </w:rPr>
              <w:t xml:space="preserve"> - Número de procedimentos pré-processuais de reconhecimento de paternidade tratados no âmbito dos Centros Judiciários de Solução de Conflitos e Cidadania no setor pré-processual ou no programa Paternidade para Todos.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104</w:t>
            </w:r>
            <w:r>
              <w:rPr>
                <w:rFonts w:ascii="Calibri" w:hAnsi="Calibri"/>
                <w:sz w:val="18"/>
              </w:rPr>
              <w:t xml:space="preserve"> - Executar, em 2025, 100% (cem por cento) das atividades previstas para o ano para a implementação da Política de Prevenção e Enfrentamento ao Assédio Moral, Assédio Sexual e Discriminação no âmbito da Justiça de Primeira e Segunda Instâncias.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Presidência</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40,9</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78</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No período de janeiro a julho, o desempenho na execução da meta foi de 40,9%. Importante ressaltar que, várias atividades foram replanejadas para execução no segundo semestre e que, a apuração do projeto é realizada de trimestralmente. Entre as atividades realizadas, destacam-se: </w:t>
            </w:r>
          </w:p>
          <w:p>
            <w:pPr>
              <w:spacing w:before="0" w:after="0"/>
              <w:jc w:val="both"/>
            </w:pPr>
            <w:r>
              <w:rPr>
                <w:rFonts w:ascii="Calibri" w:hAnsi="Calibri"/>
                <w:sz w:val="20"/>
              </w:rPr>
              <w:t>•</w:t>
            </w:r>
            <w:r>
              <w:rPr>
                <w:rFonts w:ascii="Calibri" w:hAnsi="Calibri"/>
                <w:sz w:val="20"/>
              </w:rPr>
              <w:t xml:space="preserve"> Criação de um Grupo de Trabalho, por meio da Portaria n° 7.117/2025, com o objetivo de apoiar a elaboração da Política de Prevenção e Enfrentamento do Assédio Moral, do Assédio Sexual e da Discriminação no âmbito do TJMG; </w:t>
            </w:r>
          </w:p>
          <w:p>
            <w:pPr>
              <w:spacing w:before="0" w:after="0"/>
              <w:jc w:val="both"/>
            </w:pPr>
            <w:r>
              <w:rPr>
                <w:rFonts w:ascii="Calibri" w:hAnsi="Calibri"/>
                <w:sz w:val="20"/>
              </w:rPr>
              <w:t>•</w:t>
            </w:r>
            <w:r>
              <w:rPr>
                <w:rFonts w:ascii="Calibri" w:hAnsi="Calibri"/>
                <w:sz w:val="20"/>
              </w:rPr>
              <w:t xml:space="preserve"> Promoção da Semana de Conscientização sobre Assédio e Discriminação, de 5 a 9 de maio de 2025, destacando a realização do: XXIV Encontro de Gestores — Edição Semana de Conscientização sobre Assédio e Discriminação, em parceria com a Direção do Foro de Belo Horizonte e Região Metropolitana; Seminário "Prevenção e Enfrentamento ao Assédio Moral, Sexual e de Todas as Formas de Discriminação" durante a Semana de Combate ao Assédio e à Discriminação. </w:t>
            </w:r>
          </w:p>
          <w:p>
            <w:pPr>
              <w:spacing w:before="0" w:after="0"/>
              <w:jc w:val="both"/>
            </w:pPr>
            <w:r>
              <w:rPr>
                <w:rFonts w:ascii="Calibri" w:hAnsi="Calibri"/>
                <w:sz w:val="20"/>
              </w:rPr>
              <w:t>•</w:t>
            </w:r>
            <w:r>
              <w:rPr>
                <w:rFonts w:ascii="Calibri" w:hAnsi="Calibri"/>
                <w:sz w:val="20"/>
              </w:rPr>
              <w:t xml:space="preserve"> Realização de Pesquisa sobre Assédio e Discriminação no TJMG cujo relatório encontra-se em elaboração.</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11.3</w:t>
            </w:r>
            <w:r>
              <w:rPr>
                <w:rFonts w:ascii="Calibri" w:hAnsi="Calibri"/>
                <w:sz w:val="18"/>
              </w:rPr>
              <w:t xml:space="preserve"> - Taxa de cumprimento das atividades relacionadas ao Projeto de Gestão de Receitas do TJMG.</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69</w:t>
            </w:r>
            <w:r>
              <w:rPr>
                <w:rFonts w:ascii="Calibri" w:hAnsi="Calibri"/>
                <w:sz w:val="18"/>
              </w:rPr>
              <w:t xml:space="preserve"> - Cumprir, até 31/12/2025, 90% (noventa por cento) das atividades relacionadas ao Projeto de Gestão de Receitas do TJMG previstas para o ano de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DIRFIN</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69</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55</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Para 2025, a iniciativa previu a realização de 41 atividades relativas às entregas de “Implantação do serviço de arrecadação”, de “Prorrogação Temporária do Serviço de Cobrança Registrada”, de “Divulgações sobre a Gestão de Receitas”, de “Suporte à fiscalização e cobrança das custas judiciais e depósitos de terceiros”, e de “Implantação de pagamento de custas judiciais via cartão de crédito”. Até agosto de 2025, 18 já foram concluídas, correspondendo a 43,9% de execução. Entretanto, após deliberação da Presidência de manutenção do atual modelo de cobrança registrada, em setembro de 2025, as atividades relativas à entrega de “Implantação do serviço de arrecadação” foram canceladas, levando à redução do universo considerado para 2025, e, por consequência, para o cálculo da meta, de 41 para 26. Nesse contexto, o resultado alcançado na meta até o mês de setembro foi de 69%. Dentre as atividades concluídas no ano, destaca-se a realização de um estudo sobre a possibilidade de pagamento de custas processuais e taxas judiciais com cartão de crédito no âmbito do Judiciário; a realização de estudos sobre as opções de serviço do mercado, bem como sobre a base legal e regulatória aplicável à implantação do serviço de arrecadação, e; a elaboração de um projeto para divulgação de conceitos e termos relacionados à Gestão de Receitas no TJMG, denominado “Vitral Gerec”. Outras 8 atividades estão em execução, com previsão de conclusão no segundo semestre de 2025. Nesse sentido, estima-se que o resultado da meta será de 100% até o final do ano.</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11.7</w:t>
            </w:r>
            <w:r>
              <w:rPr>
                <w:rFonts w:ascii="Calibri" w:hAnsi="Calibri"/>
                <w:sz w:val="18"/>
              </w:rPr>
              <w:t xml:space="preserve"> - Taxa de cumprimento das entregas relacionadas ao Módulo de Depósitos Judiciais  do "Projeto de Implantação do Sistema de Gestão Financeira dos Depósitos Judiciais - SIDEJUD".</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137</w:t>
            </w:r>
            <w:r>
              <w:rPr>
                <w:rFonts w:ascii="Calibri" w:hAnsi="Calibri"/>
                <w:sz w:val="18"/>
              </w:rPr>
              <w:t xml:space="preserve"> - Executar, até 18/12/2025, 100% (cem por cento) das entregas necessárias à conclusão do Módulo de Depósitos Judiciais do Sistema de Gestão Financeira dos Depósitos Judiciais - SIDEJUD.</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DIRFIN</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20,3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57</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O Sistema de Depósitos Judiciais – SIDEJUD tem por objetivo a administração autônoma e centralizada dos Depósitos Judiciais e de Precatórios permitindo aos Tribunais a gestão exclusiva e centralizada dos depósitos judiciais, passando pelas etapas de entrada, processamento e saída dos depósitos judicias. À época da definição da meta para o ano, em maio de 2025, a meta “TJMG 137 - Executar, até 18/12/2025, 100% (cem por cento) das entregas necessárias à conclusão do Módulo de Depósitos Judiciais do Sistema de Gestão Financeira dos Depósitos Judiciais – SIDEJUD” foi estabelecida tendo como base o conhecimento da equipe de negócio (DIRFIN) e da equipe de TIC (DIRTEC) acerca das entregas pretendidas para o referido módulo. No entanto, durante a execução do projeto, percebeu-se que a meta havia sido superestimada e que, na realidade, as entregas necessárias à conclusão do Módulo não seriam finalizadas antes de junho de 2026, sendo ele apenas parcialmente concluído em 2025. Essa conclusão fundamentou-se na aplicação de uma metodologia que permitiu avaliar a complexidade e a duração das atividades previstas. Diante disso, propôs-se a aprovação de uma nova meta para o ano de 2025, que considere a expectativa de “Concluir, até 19/12/2025, 40% do projeto de implantação do Sistema de Gestão Financeira dos Depósitos Judiciais – SIDEJUD.”, apontando para a expectativa de conclusão parcial do projeto em 2025. Nesse sentido, destaca-se ainda a alteração da perspectiva da meta, que deixa de considerar apenas o módulo de Depósitos Judiciais e passa a considerar o sistema como um todo, tendo em vista que o sistema só será colocado em produção quando os três módulos estiverem concluídos.</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11.8</w:t>
            </w:r>
            <w:r>
              <w:rPr>
                <w:rFonts w:ascii="Calibri" w:hAnsi="Calibri"/>
                <w:sz w:val="18"/>
              </w:rPr>
              <w:t xml:space="preserve"> - Número de MVPs relativo ao Sistema de Gestão Financeira e Orçamentária colocados em produção.</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136</w:t>
            </w:r>
            <w:r>
              <w:rPr>
                <w:rFonts w:ascii="Calibri" w:hAnsi="Calibri"/>
                <w:sz w:val="18"/>
              </w:rPr>
              <w:t xml:space="preserve"> - Colocar, pelo menos, 1 (um) Mínimo Produto Viável (MVP) relativo ao Sistema de Gestão Financeira e Orçamentária em produção até 31/10/2025.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DIRTEC</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0</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88</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O sistema está sendo desenvolvido pela PRODEMGE, conforme o Contrato 258/224, em conjunto com a Diretoria Executiva de Tecnologia da Informação e Comunicação - DIRTEC, que é responsável, sobretudo, pela integração das funcionalidades desenvolvidas pela PRODEMGE com os sistemas atuais do TJMG. Para o ano de 2025, três módulos foram definidos para serem desenvolvidos ao longo do ano, tendo seus MVPs estabelecidos e as integrações necessárias ao seu devido funcionamento identificadas, sendo eles: </w:t>
            </w:r>
          </w:p>
          <w:p>
            <w:pPr>
              <w:spacing w:before="0" w:after="0"/>
              <w:jc w:val="both"/>
            </w:pPr>
            <w:r>
              <w:rPr>
                <w:rFonts w:ascii="Calibri" w:hAnsi="Calibri"/>
                <w:sz w:val="20"/>
              </w:rPr>
              <w:t>•</w:t>
            </w:r>
            <w:r>
              <w:rPr>
                <w:rFonts w:ascii="Calibri" w:hAnsi="Calibri"/>
                <w:sz w:val="20"/>
              </w:rPr>
              <w:t xml:space="preserve">O módulo de “Gestão de Receitas”: cujo mínimo produto viável (MVP) definido correspondia a implantação do serviço de arrecadação no TJMG, em substituição ao atual modelo de cobrança registrada, em operação junto ao Banco do Brasil até o mês de novembro; </w:t>
            </w:r>
          </w:p>
          <w:p>
            <w:pPr>
              <w:spacing w:before="0" w:after="0"/>
              <w:jc w:val="both"/>
            </w:pPr>
            <w:r>
              <w:rPr>
                <w:rFonts w:ascii="Calibri" w:hAnsi="Calibri"/>
                <w:sz w:val="20"/>
              </w:rPr>
              <w:t>•</w:t>
            </w:r>
            <w:r>
              <w:rPr>
                <w:rFonts w:ascii="Calibri" w:hAnsi="Calibri"/>
                <w:sz w:val="20"/>
              </w:rPr>
              <w:t xml:space="preserve">O módulo “Orçamentário”: que trabalhou um conjunto de parametrizações e cadastros iniciais do sistema como MVP; </w:t>
            </w:r>
          </w:p>
          <w:p>
            <w:pPr>
              <w:spacing w:before="0" w:after="0"/>
              <w:jc w:val="both"/>
            </w:pPr>
            <w:r>
              <w:rPr>
                <w:rFonts w:ascii="Calibri" w:hAnsi="Calibri"/>
                <w:sz w:val="20"/>
              </w:rPr>
              <w:t>•</w:t>
            </w:r>
            <w:r>
              <w:rPr>
                <w:rFonts w:ascii="Calibri" w:hAnsi="Calibri"/>
                <w:sz w:val="20"/>
              </w:rPr>
              <w:t>O módulo “Adiantamento Financeiro”: teve como MVP definido o processamento e gestão do adiantamento financeiro da instituição. Apesar do avanço conseguido no desenvolvimento dos MVPs, especialmente do MVP 1, dada a conclusão dos desenvolvimentos e da integração com o serviço de Transação Bancária vinculados ao Módulo de Gestão de Receitas até setembro de 2025, era sabido que não possível concluir as adequações tecnológicas necessárias ao seu devido funcionamento dentro do prazo esperado, haja vista a dependência da funcionalidade de adequações a serem realizadas no sistema de Guias Web que só poderia ser concluídas em abril de 2026, de forma que o MVP 1 não poderia ser contado para o cumprimento da meta. Adicionalmente, no mês de setembro, por determinação da Presidência, a estratégia de substituição do modelo de arrecadação pelo modelo de cobrança registrada foi interrompida, levando ao refugo do MVP 1 conforme o que havia sido estabelecido em favor de um novo MVP que permita a operacionalização da Cobrança Registrada através do GFO. Destaca-se ainda que o desenvolvimento dos demais MVPs está também previsto para ser concluído no primeiro semestre de 2026. Nesse sentido, até setembro, a meta prevista para o ano não foi alcançada, tendo resultado igual a 0. Uma vez que há expectativa de conclusão dos MVP 2 e 3 somente no primeiro semestre de 2026, e que o MVP 1 será reestruturado para então ser trabalhado, estima-se que a meta proposta para o ano não será alcançada.</w:t>
            </w:r>
          </w:p>
        </w:tc>
      </w:tr>
    </w:tbl>
    <w:p>
      <w:pPr>
        <w:sectPr>
          <w:headerReference w:type="default" r:id="rId9"/>
          <w:footerReference w:type="default" r:id="rId10"/>
          <w:pgSz w:w="16838" w:h="11906" w:orient="landscape"/>
          <w:pgMar w:top="1417" w:right="850" w:bottom="1417" w:left="1134" w:header="595" w:footer="595" w:gutter="0"/>
          <w:cols w:space="720"/>
          <w:docGrid w:linePitch="360"/>
        </w:sectPr>
      </w:pP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3.51</w:t>
            </w:r>
            <w:r>
              <w:rPr>
                <w:rFonts w:ascii="Calibri" w:hAnsi="Calibri"/>
                <w:sz w:val="18"/>
              </w:rPr>
              <w:t xml:space="preserve"> - Índice de tramitação processual em até 60 (sessenta) dias.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91</w:t>
            </w:r>
            <w:r>
              <w:rPr>
                <w:rFonts w:ascii="Calibri" w:hAnsi="Calibri"/>
                <w:sz w:val="18"/>
              </w:rPr>
              <w:t xml:space="preserve"> - Movimentar 95% (noventa e cinco por cento) do acervo processual em prazo inferior a 60 (sessenta) dias.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103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Sobre a Meta TJMG 91 - Movimentar 95% (noventa e cinco por cento) do acervo processual em prazo inferior a 60 (sessenta) dias, o resultado apurado médio é de 103% até outubro de 2025. Meta alcançada devido ao trabalho que vem sendo desenvolvido pelo Centro de Aperfeiçoamento Gerencial 2ª Instância- CEAGESI, através da implantação do Desdobramento do Planejamento Estratégico, aliado à forte atuação da Secretaria Judiciária, que incentiva a agilidade nas movimentações processuais e promove treinamentos constantes e uniformidade dos procedimentos.</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3.52</w:t>
            </w:r>
            <w:r>
              <w:rPr>
                <w:rFonts w:ascii="Calibri" w:hAnsi="Calibri"/>
                <w:sz w:val="18"/>
              </w:rPr>
              <w:t xml:space="preserve"> - Índice de processos conclusos aos relatores, em até 90 dias.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115</w:t>
            </w:r>
            <w:r>
              <w:rPr>
                <w:rFonts w:ascii="Calibri" w:hAnsi="Calibri"/>
                <w:sz w:val="18"/>
              </w:rPr>
              <w:t xml:space="preserve"> - Devolver para o respectivo Cartório 95% (noventa e cinco por cento) dos processos conclusos no prazo de até 90 (noventa) dias, contado da data da conclusão.</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94,6</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Em relação à Meta TJMG 115 - Devolver para o respectivo Cartório 95,55% (noventa e cinco por cento) dos processos conclusos no prazo de até 90 (noventa) dias, contado da data da conclusão, o resultado médio apurado até outubro de 2025 é de 94,6%. Meta alcançada devido ao desempenho da Secretaria Judiciária na gestão dos prazos, atuando de forma proativa para estimular a devolução célere dos processos conclusos e orientar gabinetes e cartórios quanto á melhores práticas</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3.59</w:t>
            </w:r>
            <w:r>
              <w:rPr>
                <w:rFonts w:ascii="Calibri" w:hAnsi="Calibri"/>
                <w:sz w:val="18"/>
              </w:rPr>
              <w:t xml:space="preserve"> - Taxa de cumprimento das atividades previstas no Programa 1ª Vice-Soma - Suporte à organização, cumprimento de metas e aperfeiçoamento gerencial.</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132</w:t>
            </w:r>
            <w:r>
              <w:rPr>
                <w:rFonts w:ascii="Calibri" w:hAnsi="Calibri"/>
                <w:sz w:val="18"/>
              </w:rPr>
              <w:t xml:space="preserve"> - Executar, em 2025, 100% (cem por cento) das atividades previstas no Programa 1ª Vice SOMA - Suporte à organização, cumprimento de metas e aperfeiçoamento gerencial.</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71,71</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94</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Sobre a meta TJMG 132 – obtém -se o resultado apurado de 71,71% de conclusão das atividades previstas até 29 de agosto de 2025. Das 99 atividades previstas para 2025, 71 atividades foram concluídas, sendo: 14 ações formativas da 1ª vice Soma no período de 07/01/2025 a 27/06/2025, bem como a conclusão do Guia de suporte à Organização, Cumprimento de Metas e Aperfeiçoamento Gerencial, sendo disponibilizado de maneira impressa e virtual aos gabinetes. Concluídas também, as etapas dos estudos e pesquisas preliminares e estruturação do projeto do Banco Institucional em 29/07/2025. Concluídas as etapas de viabilização e do conteúdo programático par o curso Gramática e Texto no Judiciário: Uma abordagem contemporânea. Também já concluídas as etapas de reunião com as áreas UaiLab e EJEF, bem como definição do cronograma, conteúdo e palestrantes do Encontro Linguagem Simples no TJMG.</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3.7</w:t>
            </w:r>
            <w:r>
              <w:rPr>
                <w:rFonts w:ascii="Calibri" w:hAnsi="Calibri"/>
                <w:sz w:val="18"/>
              </w:rPr>
              <w:t xml:space="preserve"> - Taxa de julgamentos monocráticos em até 60 (sessenta) dias - 2º Grau.</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5</w:t>
            </w:r>
            <w:r>
              <w:rPr>
                <w:rFonts w:ascii="Calibri" w:hAnsi="Calibri"/>
                <w:sz w:val="18"/>
              </w:rPr>
              <w:t xml:space="preserve"> - Realizar, em 2025, 70% (setenta por cento) dos julgamentos monocráticos, pelo relator, em 60 (sessenta) dias (desconsiderado o tempo de permanência em carga aos Advogados e aos Órgãos Externos, 25 (vinte e cinco) dias).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65</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Meta TJMG 5 (Julgamentos Monocráticos). Até outubro de 2025, a meta de realizar 70% dos julgamentos monocráticos em até 60 dias não foi alcançada. O desempenho médio apurado foi de 65%, ficando abaixo do esperado. Segundo o Centro de Resultados da prestação jurisdicional na 2ª Instância (CEINJUR), o desempenho abaixo do esperado pode ser atribuído a fatores como aumento no volume de processos e variações de produtividade causados por férias e recessos.</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3.8</w:t>
            </w:r>
            <w:r>
              <w:rPr>
                <w:rFonts w:ascii="Calibri" w:hAnsi="Calibri"/>
                <w:sz w:val="18"/>
              </w:rPr>
              <w:t xml:space="preserve"> - Taxa de julgamentos colegiados em até 100 (cem) dias - 2º Grau.</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6</w:t>
            </w:r>
            <w:r>
              <w:rPr>
                <w:rFonts w:ascii="Calibri" w:hAnsi="Calibri"/>
                <w:sz w:val="18"/>
              </w:rPr>
              <w:t xml:space="preserve"> - Realizar, em 2025, 70% (setenta por cento) dos julgamentos colegiados em até 100 dias. (desconsiderado o tempo de permanência em carga aos Advogados e aos Órgãos Externos, 25 (vinte e cinco) dias).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66,3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de realizar 70% dos julgamentos colegiados em até 100 dias não foi cumprida. O resultado médio até outubro de 2025, é de 66,3%, aquém do objetivo. Segundo o Centro de Resultados da prestação jurisdicional na 2ª Instância (CEINJUR), o desempenho abaixo do esperado de ambas as metas pode ser atribuído a fatores como o aumento no volume de processos e variações de produtividade causadas por férias e recessos.</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3.9</w:t>
            </w:r>
            <w:r>
              <w:rPr>
                <w:rFonts w:ascii="Calibri" w:hAnsi="Calibri"/>
                <w:sz w:val="18"/>
              </w:rPr>
              <w:t xml:space="preserve"> - Índice de acórdãos publicados em até 10 (dez) dias.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7</w:t>
            </w:r>
            <w:r>
              <w:rPr>
                <w:rFonts w:ascii="Calibri" w:hAnsi="Calibri"/>
                <w:sz w:val="18"/>
              </w:rPr>
              <w:t xml:space="preserve"> - Publicar, em 2025, 95% (noventa e cinco por cento) dos acórdãos no prazo máximo de 10 (dez) dias após o julgamento dos processos.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92</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TJMG 7, que exige a publicação de 95% dos acórdãos em até 10 dias após o julgamento, o valor médio alcançado foi de 92% até outubro de 2025. O CEINJUR explica que não alcance da meta foi resultado de erros estruturais que afetaram os dados de janeiro e início de fevereiro. Esses problemas foram resolvidos no final de fevereiro, permitindo a normalização dos indicadores. Além disso, o mês de dezembro é atípico por conta do recesso judiciário, o que também impacta os resultados de início de ano. No entanto, a tendência dos resultados aponta para o alcance da meta até o final do ano.</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6 - CONSOLIDAÇÃO DO SISTEMA DE PRECEDENTES OBRIGATÓRIOS</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6.1</w:t>
            </w:r>
            <w:r>
              <w:rPr>
                <w:rFonts w:ascii="Calibri" w:hAnsi="Calibri"/>
                <w:sz w:val="18"/>
              </w:rPr>
              <w:t xml:space="preserve"> - Taxa de julgamento de processos vinculados em razão de repercussão geral e repetitividade em até 100 (cem) dias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29</w:t>
            </w:r>
            <w:r>
              <w:rPr>
                <w:rFonts w:ascii="Calibri" w:hAnsi="Calibri"/>
                <w:sz w:val="18"/>
              </w:rPr>
              <w:t xml:space="preserve"> - Julgar, em 2025, em até 100 (cem) dias, 80% (oitenta por cento) dos processos vinculados em razão de repercussão geral e repetitividade de recursos e feitos após trânsito em julgado do tema 2º Grau.</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77,6</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Sobre a Meta TJMG 29, o resultado médio apurado até outubro de 2025 é de 77,6%. Apesar dos esforços e das capacitações promovidas pelo Projeto SOMA, o não alcance da meta nos primeiros meses do ano decorreu de fatores operacionais e estruturais, como elevado volume de processos e a complexidade dos temas analisados, o que demandou maior tempo de apreciação. A Superintendência Judiciária vem atuando de forma contínua, por meio de ações formativas, orientações e acompanhamento técnico, com o objetivo de aprimorar os fluxos de trabalho e contribuir para a melhoria dos resultados.</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6.5</w:t>
            </w:r>
            <w:r>
              <w:rPr>
                <w:rFonts w:ascii="Calibri" w:hAnsi="Calibri"/>
                <w:sz w:val="18"/>
              </w:rPr>
              <w:t xml:space="preserve"> - Índice de priorização de ações coletivas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59</w:t>
            </w:r>
            <w:r>
              <w:rPr>
                <w:rFonts w:ascii="Calibri" w:hAnsi="Calibri"/>
                <w:sz w:val="18"/>
              </w:rPr>
              <w:t xml:space="preserve"> - Julgar, até 31/12/2025, 85% (oitenta e cinco por cento) das ações coletivas distribuídas até 31/12/2023 no 2º Grau.</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90,5</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Quanto à Meta TJMG 59 - Julgar até 31/12/2025, 85% das ações coletivas distribuídas até 31/12/2023 no 2º Grau, o valor médio apurado até outubro de 2025 de 90,5% indica o cumprimento da meta no período.</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6.6</w:t>
            </w:r>
            <w:r>
              <w:rPr>
                <w:rFonts w:ascii="Calibri" w:hAnsi="Calibri"/>
                <w:sz w:val="18"/>
              </w:rPr>
              <w:t xml:space="preserve"> - . Taxa de julgamento de IRDR/IAC em até 320 (trezentos e vinte) dias.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134</w:t>
            </w:r>
            <w:r>
              <w:rPr>
                <w:rFonts w:ascii="Calibri" w:hAnsi="Calibri"/>
                <w:sz w:val="18"/>
              </w:rPr>
              <w:t xml:space="preserve"> - Julgar, em 2025, 60% (sessenta por cento) dos IRDRs/IACS em até 320 (trezentos e vinte) dias após a admissão, (desconsiderado o tempo médio de permanência em carga a Advogados ou Órgãos Externos, 25 (vinte e cinco) dias).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0</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04, IE 75, IE 94</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O resultado apurado corresponde a 0%. Isso ocorreu porque nos meses de fevereiro, abril, maio, junho, julho e agosto houve julgamento de mérito, porém, todos eles superiores a 320 dias. E, no mês de março, não houve julgamento do mérito. Diante desse resultado e, para auxiliar as sessões cujas atribuições envolvem julgar os Incidentes de Resolução de Demandas Repetitivas (IRDR) e os Incidentes de Assunção de Competência (IAC), a Primeira Vice-Presidência do Tribunal de Justiça de Minas Gerais, por meio do Núcleo de Gerenciamento de Precedentes (NUGEPNAC) elaborou e apresentou aos desembargadores envolvidos o Projeto de Aperfeiçoamento na Formação de Precedentes cujo objetivo é fortalecer a segurança jurídica, garantir a isonomia nas decisões, a previsibilidade e coerência dos entendimentos firmados, acelerar a prestação jurisdicional, garantir a clareza das teses firmadas e preservar a unidade e integridade do nosso sistema de justiça. O ponto importante desse projeto é: para otimizar essa colaboração, cada Desembargador(a) membro das Seções poderá indicar um assessor para ser o contato direto com o NUGEPNAC, e para ser treinado como multiplicador. A intenção é fazer um nivelamento e municiar as assessorias com informações cruciais para o bom andamento dos incidentes em tramitação e para o alcance das metas do Planejamento Estratégico.</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6 - CONSOLIDAÇÃO DO SISTEMA DE PRECEDENTES OBRIGATÓRIOS</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6.7</w:t>
            </w:r>
            <w:r>
              <w:rPr>
                <w:rFonts w:ascii="Calibri" w:hAnsi="Calibri"/>
                <w:sz w:val="18"/>
              </w:rPr>
              <w:t xml:space="preserve"> - Taxa de Juízo de admissibilidade de IRDR/IAC em até 150 (cento e cinquenta) dias.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135</w:t>
            </w:r>
            <w:r>
              <w:rPr>
                <w:rFonts w:ascii="Calibri" w:hAnsi="Calibri"/>
                <w:sz w:val="18"/>
              </w:rPr>
              <w:t xml:space="preserve"> - Exercer, em 2025, o juízo de admissibilidade em 100% (cem por cento) dos processos relacionados a IRDRs/IACs em até 150 (cento e cinquenta) dias após a distribuição do requerimento.</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0</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04, IE 75, IE 94</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O resultado apurado corresponde a 0%. Nos meses de janeiro, fevereiro, março, maio, junho e julho, houve julgamento de mérito, porém todos superiores a 150 dias. E, nos meses de abril e agosto não houve julgamento do mérito. Diante desse resultado e, para auxiliar as sessões cujas atribuições envolvem julgar os Incidentes de Resolução de Demandas Repetitivas (IRDR) e os Incidentes de Assunção de Competência (IAC), a Primeira Vice-Presidência do Tribunal de Justiça de Minas Gerais, por meio do Núcleo de Gerenciamento de Precedentes (NUGEPNAC) elaborou e apresentou aos desembargadores envolvidos o Projeto de Aperfeiçoamento na Formação de Precedentes cujo objetivo é fortalecer a segurança jurídica, garantir a isonomia nas decisões, a previsibilidade e coerência dos entendimentos firmados, acelerar a prestação jurisdicional, garantir a clareza das teses firmadas e preservar a unidade e integridade do nosso sistema de justiça. O ponto importante desse projeto é: para otimizar essa colaboração, cada Desembargador(a) membro das Seções poderá indicar um assessor para ser o contato direto com o NUGEPNAC, e para ser treinado como multiplicador. A intenção é fazer um nivelamento e municiar as assessorias com informações cruciais para o bom andamento dos incidentes em tramitação e para o alcance das metas do Planejamento Estratégico.</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9.22</w:t>
            </w:r>
            <w:r>
              <w:rPr>
                <w:rFonts w:ascii="Calibri" w:hAnsi="Calibri"/>
                <w:sz w:val="18"/>
              </w:rPr>
              <w:t xml:space="preserve"> - Taxa de execução do projeto de Aprimoramento da Gestão de Cobrança de Custas Processuais.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95</w:t>
            </w:r>
            <w:r>
              <w:rPr>
                <w:rFonts w:ascii="Calibri" w:hAnsi="Calibri"/>
                <w:sz w:val="18"/>
              </w:rPr>
              <w:t xml:space="preserve"> - Executar, no ano de 2025, 100% (cem por cento) das atividades previstas no projeto de Aprimoramento da Gestão de Cobrança de Custas Processuais.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DIRSUP</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23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72</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TJMG 95, que estabelece a execução de 100% das atividades previstas no Projeto de Aprimoramento da Gestão de Cobrança de Custas Processuais em 2025, alcançou 23% no último monitoramento, realizado em 08 de setembro de 2025. Este resultado está diretamente relacionado à ampliação do escopo e à evolução da iniciativa para um programa. Essa transição exigiu a alocação da equipe em diversas frentes de trabalho simultâneas, o que impactou o cronograma original.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9.23</w:t>
            </w:r>
            <w:r>
              <w:rPr>
                <w:rFonts w:ascii="Calibri" w:hAnsi="Calibri"/>
                <w:sz w:val="18"/>
              </w:rPr>
              <w:t xml:space="preserve"> - Taxa de cumprimento das atividades previstas no Projeto de Ampliação da Eficácia da Sistemática dos Precedentes Qualificadas.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96</w:t>
            </w:r>
            <w:r>
              <w:rPr>
                <w:rFonts w:ascii="Calibri" w:hAnsi="Calibri"/>
                <w:sz w:val="18"/>
              </w:rPr>
              <w:t xml:space="preserve"> - Executar, em 2025, 100% (cem por cento) das atividades previstas, para o ano, no programa de Ampliação da Eficácia da Sistemática dos Precedentes Qualificados.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76</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75</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da iniciativa 75 – Ampliação da Eficácia da Sistemática dos Precedentes Qualificados é executar, em 2025,100% das atividades previstas para o ano. Das 29 atividades previstas para o ano de 2025, 22 foram concluídas, o que corresponde ao valor apurado de 76% em 04/11/2025. As atividades concluídas são: Oferta do curso de Precedentes – Juízes leigos e servidores. Oferta do curso de treinamento para Escrivães e Escreventes - Gestão de Processos Sobrestados. Na qual participaram da formação, aproximadamente, 25 gestores de cartórios Cíveis e Criminais. Implantação da ferramenta automatizada de identificação de precedentes potencialmente aplicáveis, a 1ª onda contemplou as seguintes comarcas: Divinópolis, Santa Luzia, Contagem, Sete Lagoas, Vespasiano, Ibirité e Pará de Minas, com um total de 783 máquinas adaptadas. Já na 2ª onda a implantação da ferramenta contemplou as comarcas de Betim, Ribeirão das Neves, Ubá, Pouso Alegre, Varginha e Poços de Caldas (Fórum), Poços de Caldas (Jesp), com um total de 687 máquinas adaptadas e a 3ª onda nas comarcas de Juiz de Fora (Fórum e JESP), Barbacena, São João Del- Rei, Manhuaçu, Uberlândia, Uberaba e Patos de Minas, com um total de 2055 máquinas adaptadas. Concluída também a implantação da 4ª onda nas comarcas de Caratinga, Ipatinga, Coronel Fabriciano, Timóteo, Itabira, Conselheiro Lafaiete, Governador Valadares, Montes Claros e Teófilo Otoni. Na 5ª onda as comarcas contempladas foram: Jaboticatuba, Juatuba, Alto Rio Doce, Barroso, Bicas, Carandaí, Divino, Ervália e Espera Feliz, com um total de 215 máquinas adaptadas. Na 6ª onda as comarcas contempladas foram: Eugenópolis, Guarani, Jequeri, Lajinha, Lima Duarte, Mas de Espanha, Matias Barbosa, Mercês e Miradouro, com 187 máquinas adaptadas. A 7ª onda contemplou as seguintes comarcas: Miraí, Palma, Piranga, Pirapetinga, Raul Soares, Resende Costa, Rio Casca, Rio Novo, Rio Pomba. Com 167 máquinas adaptadas. Na 8ª onda as comarcas contempladas foram: Rio Preto, Senador Firmino, Teixeiras, Tombos, Aiuroca, Alpinópolis, Andrelândia, Areado e Baependi. Apresentado aos desembargadores e assessores indicados o conteúdo para ação de nivelamento da ação de Aperfeiçoamento na formação de precedentes - IRDR e IAC. Após elaboração da proposta de Gestão de Incidentes de Uniformização de Jurisprudência - IUJs, a mesma foi apresentada ao 1º Vice Presidente. Publicada a cartilha Ferramentas de Identificação Automática de Precedentes Qualificados, elaborada pela COAPE para orientar adequadamente os usuários do sistema.</w:t>
            </w:r>
          </w:p>
        </w:tc>
      </w:tr>
    </w:tbl>
    <w:p>
      <w:pPr>
        <w:sectPr>
          <w:headerReference w:type="default" r:id="rId11"/>
          <w:footerReference w:type="default" r:id="rId12"/>
          <w:pgSz w:w="16838" w:h="11906" w:orient="landscape"/>
          <w:pgMar w:top="1417" w:right="850" w:bottom="1417" w:left="1134" w:header="595" w:footer="595" w:gutter="0"/>
          <w:cols w:space="720"/>
          <w:docGrid w:linePitch="360"/>
        </w:sectPr>
      </w:pP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10 - OTIMIZAÇÃO DA GESTÃO DE PESSOAS</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10.5</w:t>
            </w:r>
            <w:r>
              <w:rPr>
                <w:rFonts w:ascii="Calibri" w:hAnsi="Calibri"/>
                <w:sz w:val="18"/>
              </w:rPr>
              <w:t xml:space="preserve"> - Taxa de consolidação do Programa de Pós-Graduação da Escola Judicial Desembargador Edésio Fernandes.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67</w:t>
            </w:r>
            <w:r>
              <w:rPr>
                <w:rFonts w:ascii="Calibri" w:hAnsi="Calibri"/>
                <w:sz w:val="18"/>
              </w:rPr>
              <w:t xml:space="preserve"> - Cumprir, até o final de 2025, 94% (noventa e quatro por cento) das etapas/entregas de consolidação do Programa de Pós-Graduação da EJEF previstas para o período de 2021-2026.</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2ª Vice Presidência</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84</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50</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TJMG 67 prevê o cumprimento, até o final de 2025, de 94% das entregas de consolidação do Programa de Pós-Graduação da EJEF previstas para o período de 2021-2026. Considerando que a meta é cumulativa, abarcando o ciclo mencionado, verifica-se que até 22/08/2025, foram concluídas 71% das entregas previstas para o Programa. Entre as entregas realizadas em 2025, destaca-se a conclusão do plano de curso de Direito Processual Civil do 4º Curso de Pós-Graduação lato sensu da EJEF e do plano de curso de Direito Público do 5º Curso de Pós-Graduação lato sensu da EJEF. Além disso, a parceria firmada com a PUC-MG para o estudo e desenvolvimento 1º Curso de Pós-Graduação stricto sensu (mestrado) em parceria com outras instituições de ensino, cuja realização está prevista para ocorrer em 02/12/2025, com o tema Ciências Sociais da PUC Minas.</w:t>
            </w:r>
          </w:p>
        </w:tc>
      </w:tr>
    </w:tbl>
    <w:p>
      <w:pPr>
        <w:sectPr>
          <w:headerReference w:type="default" r:id="rId13"/>
          <w:footerReference w:type="default" r:id="rId14"/>
          <w:pgSz w:w="16838" w:h="11906" w:orient="landscape"/>
          <w:pgMar w:top="1417" w:right="850" w:bottom="1417" w:left="1134" w:header="595" w:footer="595" w:gutter="0"/>
          <w:cols w:space="720"/>
          <w:docGrid w:linePitch="360"/>
        </w:sectPr>
      </w:pP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2 - AMPLIAÇÃO DA RELAÇÃO INSTITUCIONAL DO JUDICIÁRIO COM A SOCIEDADE</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2.4</w:t>
            </w:r>
            <w:r>
              <w:rPr>
                <w:rFonts w:ascii="Calibri" w:hAnsi="Calibri"/>
                <w:sz w:val="18"/>
              </w:rPr>
              <w:t xml:space="preserve"> - Número de ações de itinerância efetivamente realizadas.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100</w:t>
            </w:r>
            <w:r>
              <w:rPr>
                <w:rFonts w:ascii="Calibri" w:hAnsi="Calibri"/>
                <w:sz w:val="18"/>
              </w:rPr>
              <w:t xml:space="preserve"> - Promover, por ação própria ou mediante parceria com outros órgãos internos e externos ao TJMG, o oferecimento de serviços de itinerância em pelo menos 50 (cinquenta) ações, até dezembro de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Superintendência da Gestão de Inovação</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63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A meta TJMG 100 busca promover, por meio de ações próprias ou parcerias com outros órgãos, a oferta de serviços itinerantes em pelo menos 50 ações. De janeiro a agosto de 2025, foram realizadas 63 ações em 63 municípios: </w:t>
            </w:r>
          </w:p>
          <w:p>
            <w:pPr>
              <w:spacing w:before="0" w:after="0"/>
              <w:jc w:val="both"/>
            </w:pPr>
            <w:r>
              <w:rPr>
                <w:rFonts w:ascii="Calibri" w:hAnsi="Calibri"/>
                <w:sz w:val="20"/>
              </w:rPr>
              <w:t>•</w:t>
            </w:r>
            <w:r>
              <w:rPr>
                <w:rFonts w:ascii="Calibri" w:hAnsi="Calibri"/>
                <w:sz w:val="20"/>
              </w:rPr>
              <w:t xml:space="preserve"> Fevereiro: Montezuma, Vargem Grande do Rio Pardo, Santo Antônio do Retiro, Caraí, Itaipé, Catuji, Bertópolis. </w:t>
            </w:r>
          </w:p>
          <w:p>
            <w:pPr>
              <w:spacing w:before="0" w:after="0"/>
              <w:jc w:val="both"/>
            </w:pPr>
            <w:r>
              <w:rPr>
                <w:rFonts w:ascii="Calibri" w:hAnsi="Calibri"/>
                <w:sz w:val="20"/>
              </w:rPr>
              <w:t>•</w:t>
            </w:r>
            <w:r>
              <w:rPr>
                <w:rFonts w:ascii="Calibri" w:hAnsi="Calibri"/>
                <w:sz w:val="20"/>
              </w:rPr>
              <w:t xml:space="preserve"> Março: Laranjal, Rosário da Limeira, Miradouro, Vieiras, Esmeraldas. </w:t>
            </w:r>
          </w:p>
          <w:p>
            <w:pPr>
              <w:spacing w:before="0" w:after="0"/>
              <w:jc w:val="both"/>
            </w:pPr>
            <w:r>
              <w:rPr>
                <w:rFonts w:ascii="Calibri" w:hAnsi="Calibri"/>
                <w:sz w:val="20"/>
              </w:rPr>
              <w:t>•</w:t>
            </w:r>
            <w:r>
              <w:rPr>
                <w:rFonts w:ascii="Calibri" w:hAnsi="Calibri"/>
                <w:sz w:val="20"/>
              </w:rPr>
              <w:t xml:space="preserve"> Abril: Ninheira, Berizal, Indaiabira, Curral de Dentro, Florestal, Olhos d'Água, Félixlândia, Ribeirão das Neves, Taiobeiras. </w:t>
            </w:r>
          </w:p>
          <w:p>
            <w:pPr>
              <w:spacing w:before="0" w:after="0"/>
              <w:jc w:val="both"/>
            </w:pPr>
            <w:r>
              <w:rPr>
                <w:rFonts w:ascii="Calibri" w:hAnsi="Calibri"/>
                <w:sz w:val="20"/>
              </w:rPr>
              <w:t>•</w:t>
            </w:r>
            <w:r>
              <w:rPr>
                <w:rFonts w:ascii="Calibri" w:hAnsi="Calibri"/>
                <w:sz w:val="20"/>
              </w:rPr>
              <w:t xml:space="preserve"> Maio: Alto Caraparaó, Alto Jequitibá, Duradé, Martins Soares, Barão do Monte Alto, Juiz de Fora, Orizânia, Bom Jesus do Divino (Distrito), Pirapora, Santa Rita do Jacutinga, Coroaci, Ribeirão das Neves, Serro. </w:t>
            </w:r>
          </w:p>
          <w:p>
            <w:pPr>
              <w:spacing w:before="0" w:after="0"/>
              <w:jc w:val="both"/>
            </w:pPr>
            <w:r>
              <w:rPr>
                <w:rFonts w:ascii="Calibri" w:hAnsi="Calibri"/>
                <w:sz w:val="20"/>
              </w:rPr>
              <w:t>•</w:t>
            </w:r>
            <w:r>
              <w:rPr>
                <w:rFonts w:ascii="Calibri" w:hAnsi="Calibri"/>
                <w:sz w:val="20"/>
              </w:rPr>
              <w:t xml:space="preserve"> Junho: Serra Azul de Minas, Santo Antônio do Itambé, Alvorada de Minas, Monte Santo de Minas, Aceburgo, Santa Luzia, Bom Jesus do Divino (Distrito). </w:t>
            </w:r>
          </w:p>
          <w:p>
            <w:pPr>
              <w:spacing w:before="0" w:after="0"/>
              <w:jc w:val="both"/>
            </w:pPr>
            <w:r>
              <w:rPr>
                <w:rFonts w:ascii="Calibri" w:hAnsi="Calibri"/>
                <w:sz w:val="20"/>
              </w:rPr>
              <w:t>•</w:t>
            </w:r>
            <w:r>
              <w:rPr>
                <w:rFonts w:ascii="Calibri" w:hAnsi="Calibri"/>
                <w:sz w:val="20"/>
              </w:rPr>
              <w:t xml:space="preserve"> Julho: Frei Lagonegro, Coroaci, Açucena, Santo Antônio do Monte, São Francisco de Paula, Belo Oriente, Distrito de Queixada, Distrito de Lufa, Barra do Guaicuí, Lassance, Várzea da Palma. </w:t>
            </w:r>
          </w:p>
          <w:p>
            <w:pPr>
              <w:spacing w:before="0" w:after="0"/>
              <w:jc w:val="both"/>
            </w:pPr>
            <w:r>
              <w:rPr>
                <w:rFonts w:ascii="Calibri" w:hAnsi="Calibri"/>
                <w:sz w:val="20"/>
              </w:rPr>
              <w:t>•</w:t>
            </w:r>
            <w:r>
              <w:rPr>
                <w:rFonts w:ascii="Calibri" w:hAnsi="Calibri"/>
                <w:sz w:val="20"/>
              </w:rPr>
              <w:t xml:space="preserve"> Agosto: Presidente Bernardes, Rochedo de Minas, Descoberto, Araporã, Tupaciguara, Pirajuba, Aldeia Indígena Maxacali, Unaí, Sarzedo, Mário Campos, Goiabeira</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5.</w:t>
            </w:r>
            <w:r>
              <w:rPr>
                <w:rFonts w:ascii="Calibri" w:hAnsi="Calibri"/>
                <w:sz w:val="18"/>
              </w:rPr>
              <w:t xml:space="preserve"> - 11 - Número de projetos em Justiça Restaurativa implementados.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139</w:t>
            </w:r>
            <w:r>
              <w:rPr>
                <w:rFonts w:ascii="Calibri" w:hAnsi="Calibri"/>
                <w:sz w:val="18"/>
              </w:rPr>
              <w:t xml:space="preserve"> - Implementar ao menos 5 (cinco) projetos em Justiça Restaurativa no ano de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Superintendência da Gestão de Inovação</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1</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Encontra-se em desenvolvimento o projeto Novos Voos, na comarca de Araxá. Além disso, estão em fase de formalização 8 outros projetos: </w:t>
            </w:r>
          </w:p>
          <w:p>
            <w:pPr>
              <w:spacing w:before="0" w:after="0"/>
              <w:jc w:val="both"/>
            </w:pPr>
            <w:r>
              <w:rPr>
                <w:rFonts w:ascii="Calibri" w:hAnsi="Calibri"/>
                <w:sz w:val="20"/>
              </w:rPr>
              <w:t>•</w:t>
            </w:r>
            <w:r>
              <w:rPr>
                <w:rFonts w:ascii="Calibri" w:hAnsi="Calibri"/>
                <w:sz w:val="20"/>
              </w:rPr>
              <w:t xml:space="preserve"> Belo Horizonte - Projeto de implantação de aplicação da justiça restaurativa nas Varas de Violência Doméstica e Familiar contra mulher. Eixo: Violência psicológica e conflitos intrafamiliares – processo gerado em 01/07/2025. </w:t>
            </w:r>
          </w:p>
          <w:p>
            <w:pPr>
              <w:spacing w:before="0" w:after="0"/>
              <w:jc w:val="both"/>
            </w:pPr>
            <w:r>
              <w:rPr>
                <w:rFonts w:ascii="Calibri" w:hAnsi="Calibri"/>
                <w:sz w:val="20"/>
              </w:rPr>
              <w:t>•</w:t>
            </w:r>
            <w:r>
              <w:rPr>
                <w:rFonts w:ascii="Calibri" w:hAnsi="Calibri"/>
                <w:sz w:val="20"/>
              </w:rPr>
              <w:t xml:space="preserve"> Brumadinho - Projeto: Caminho de Reconstrução: Encontros Restaurativos para Mulheres em Situação de Violência Doméstica – processo gerado em 06/02/2025. </w:t>
            </w:r>
          </w:p>
          <w:p>
            <w:pPr>
              <w:spacing w:before="0" w:after="0"/>
              <w:jc w:val="both"/>
            </w:pPr>
            <w:r>
              <w:rPr>
                <w:rFonts w:ascii="Calibri" w:hAnsi="Calibri"/>
                <w:sz w:val="20"/>
              </w:rPr>
              <w:t>•</w:t>
            </w:r>
            <w:r>
              <w:rPr>
                <w:rFonts w:ascii="Calibri" w:hAnsi="Calibri"/>
                <w:sz w:val="20"/>
              </w:rPr>
              <w:t xml:space="preserve"> Governador Valadares - Núcleo de práticas restaurativas da Vara da Infância e Juventude de Governador Valadares/MG – processo gerado em 09/05/2024. </w:t>
            </w:r>
          </w:p>
          <w:p>
            <w:pPr>
              <w:spacing w:before="0" w:after="0"/>
              <w:jc w:val="both"/>
            </w:pPr>
            <w:r>
              <w:rPr>
                <w:rFonts w:ascii="Calibri" w:hAnsi="Calibri"/>
                <w:sz w:val="20"/>
              </w:rPr>
              <w:t>•</w:t>
            </w:r>
            <w:r>
              <w:rPr>
                <w:rFonts w:ascii="Calibri" w:hAnsi="Calibri"/>
                <w:sz w:val="20"/>
              </w:rPr>
              <w:t xml:space="preserve"> Mariana - Projeto – Justiça Restaurativa em Processos envolvendo Violência Doméstica – processo gerado em 25/07/2023. </w:t>
            </w:r>
          </w:p>
          <w:p>
            <w:pPr>
              <w:spacing w:before="0" w:after="0"/>
              <w:jc w:val="both"/>
            </w:pPr>
            <w:r>
              <w:rPr>
                <w:rFonts w:ascii="Calibri" w:hAnsi="Calibri"/>
                <w:sz w:val="20"/>
              </w:rPr>
              <w:t>•</w:t>
            </w:r>
            <w:r>
              <w:rPr>
                <w:rFonts w:ascii="Calibri" w:hAnsi="Calibri"/>
                <w:sz w:val="20"/>
              </w:rPr>
              <w:t xml:space="preserve"> Muriaé - Projeto Ressignificar: um novo olhar sobre a violência doméstica; Projeto Restaurando a Liberdade; Projeto Justiça Restaurativa nas Escolas; Projeto A promoção da proteção social na medida socioeducativa por meio da justiça restaurativa.</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5.</w:t>
            </w:r>
            <w:r>
              <w:rPr>
                <w:rFonts w:ascii="Calibri" w:hAnsi="Calibri"/>
                <w:sz w:val="18"/>
              </w:rPr>
              <w:t xml:space="preserve"> - 12 - Número de círculos de construção de paz realizados.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140</w:t>
            </w:r>
            <w:r>
              <w:rPr>
                <w:rFonts w:ascii="Calibri" w:hAnsi="Calibri"/>
                <w:sz w:val="18"/>
              </w:rPr>
              <w:t xml:space="preserve"> - Realizar ao menos 25 (vinte e cinco) círculos de construção de paz utilizando as técnicas da justiça restaurativa, no ano de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Superintendência da Gestão de Inovação</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42</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Entre janeiro de setembro foram realizados 42 Círculos de Construção de Paz: </w:t>
            </w:r>
          </w:p>
          <w:p>
            <w:pPr>
              <w:spacing w:before="0" w:after="0"/>
              <w:jc w:val="both"/>
            </w:pPr>
            <w:r>
              <w:rPr>
                <w:rFonts w:ascii="Calibri" w:hAnsi="Calibri"/>
                <w:sz w:val="20"/>
              </w:rPr>
              <w:t>•</w:t>
            </w:r>
            <w:r>
              <w:rPr>
                <w:rFonts w:ascii="Calibri" w:hAnsi="Calibri"/>
                <w:sz w:val="20"/>
              </w:rPr>
              <w:t xml:space="preserve"> Janeiro: 1 Itabira, 1 Ponte Nova e 1 Ceajur. </w:t>
            </w:r>
          </w:p>
          <w:p>
            <w:pPr>
              <w:spacing w:before="0" w:after="0"/>
              <w:jc w:val="both"/>
            </w:pPr>
            <w:r>
              <w:rPr>
                <w:rFonts w:ascii="Calibri" w:hAnsi="Calibri"/>
                <w:sz w:val="20"/>
              </w:rPr>
              <w:t>•</w:t>
            </w:r>
            <w:r>
              <w:rPr>
                <w:rFonts w:ascii="Calibri" w:hAnsi="Calibri"/>
                <w:sz w:val="20"/>
              </w:rPr>
              <w:t xml:space="preserve"> Fevereiro: 1 Igarapé, 1 Itabira, 1 Ponte Nova e 2 no âmbito do projeto trabalhadores. </w:t>
            </w:r>
          </w:p>
          <w:p>
            <w:pPr>
              <w:spacing w:before="0" w:after="0"/>
              <w:jc w:val="both"/>
            </w:pPr>
            <w:r>
              <w:rPr>
                <w:rFonts w:ascii="Calibri" w:hAnsi="Calibri"/>
                <w:sz w:val="20"/>
              </w:rPr>
              <w:t>•</w:t>
            </w:r>
            <w:r>
              <w:rPr>
                <w:rFonts w:ascii="Calibri" w:hAnsi="Calibri"/>
                <w:sz w:val="20"/>
              </w:rPr>
              <w:t xml:space="preserve"> Março: 1 Governador Valadares, 1 Itabira, 1 Ponte Nova, 1 Viçosa e 3 no âmbito do projeto trabalhadores. </w:t>
            </w:r>
          </w:p>
          <w:p>
            <w:pPr>
              <w:spacing w:before="0" w:after="0"/>
              <w:jc w:val="both"/>
            </w:pPr>
            <w:r>
              <w:rPr>
                <w:rFonts w:ascii="Calibri" w:hAnsi="Calibri"/>
                <w:sz w:val="20"/>
              </w:rPr>
              <w:t>•</w:t>
            </w:r>
            <w:r>
              <w:rPr>
                <w:rFonts w:ascii="Calibri" w:hAnsi="Calibri"/>
                <w:sz w:val="20"/>
              </w:rPr>
              <w:t xml:space="preserve"> Abril: 1 Araxá, 1 Igarapé, 1 Itabira, 1 João Monlevade, 01 Ceajur e 2 no âmbito do projeto trabalhadores. </w:t>
            </w:r>
          </w:p>
          <w:p>
            <w:pPr>
              <w:spacing w:before="0" w:after="0"/>
              <w:jc w:val="both"/>
            </w:pPr>
            <w:r>
              <w:rPr>
                <w:rFonts w:ascii="Calibri" w:hAnsi="Calibri"/>
                <w:sz w:val="20"/>
              </w:rPr>
              <w:t>•</w:t>
            </w:r>
            <w:r>
              <w:rPr>
                <w:rFonts w:ascii="Calibri" w:hAnsi="Calibri"/>
                <w:sz w:val="20"/>
              </w:rPr>
              <w:t xml:space="preserve"> Maio: 1 Araxá, 1 Governador Valadares, 1 Igarapé, 1 Itabira, 1 João Monlevade, 1 Ponte Nova, 2 Ceajur, 2 no âmbito do projeto trabalhadores. </w:t>
            </w:r>
          </w:p>
          <w:p>
            <w:pPr>
              <w:spacing w:before="0" w:after="0"/>
              <w:jc w:val="both"/>
            </w:pPr>
            <w:r>
              <w:rPr>
                <w:rFonts w:ascii="Calibri" w:hAnsi="Calibri"/>
                <w:sz w:val="20"/>
              </w:rPr>
              <w:t>•</w:t>
            </w:r>
            <w:r>
              <w:rPr>
                <w:rFonts w:ascii="Calibri" w:hAnsi="Calibri"/>
                <w:sz w:val="20"/>
              </w:rPr>
              <w:t xml:space="preserve"> Junho: 1 Araxá, 1 Igarapé, 1 Itabira e 2 no âmbito do projeto trabalhadores. </w:t>
            </w:r>
          </w:p>
          <w:p>
            <w:pPr>
              <w:spacing w:before="0" w:after="0"/>
              <w:jc w:val="both"/>
            </w:pPr>
            <w:r>
              <w:rPr>
                <w:rFonts w:ascii="Calibri" w:hAnsi="Calibri"/>
                <w:sz w:val="20"/>
              </w:rPr>
              <w:t>•</w:t>
            </w:r>
            <w:r>
              <w:rPr>
                <w:rFonts w:ascii="Calibri" w:hAnsi="Calibri"/>
                <w:sz w:val="20"/>
              </w:rPr>
              <w:t xml:space="preserve"> Julho: 1 Ceajur. </w:t>
            </w:r>
          </w:p>
          <w:p>
            <w:pPr>
              <w:spacing w:before="0" w:after="0"/>
              <w:jc w:val="both"/>
            </w:pPr>
            <w:r>
              <w:rPr>
                <w:rFonts w:ascii="Calibri" w:hAnsi="Calibri"/>
                <w:sz w:val="20"/>
              </w:rPr>
              <w:t>•</w:t>
            </w:r>
            <w:r>
              <w:rPr>
                <w:rFonts w:ascii="Calibri" w:hAnsi="Calibri"/>
                <w:sz w:val="20"/>
              </w:rPr>
              <w:t xml:space="preserve"> Agosto: 2 no âmbito do projeto trabalhadores. </w:t>
            </w:r>
          </w:p>
          <w:p>
            <w:pPr>
              <w:spacing w:before="0" w:after="0"/>
              <w:jc w:val="both"/>
            </w:pPr>
            <w:r>
              <w:rPr>
                <w:rFonts w:ascii="Calibri" w:hAnsi="Calibri"/>
                <w:sz w:val="20"/>
              </w:rPr>
              <w:t>•</w:t>
            </w:r>
            <w:r>
              <w:rPr>
                <w:rFonts w:ascii="Calibri" w:hAnsi="Calibri"/>
                <w:sz w:val="20"/>
              </w:rPr>
              <w:t xml:space="preserve"> Setembro: 2 no âmbito do projeto trabalhadores. Os círculos de trabalhadores é um projeto de circulos onlines.</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5.6</w:t>
            </w:r>
            <w:r>
              <w:rPr>
                <w:rFonts w:ascii="Calibri" w:hAnsi="Calibri"/>
                <w:sz w:val="18"/>
              </w:rPr>
              <w:t xml:space="preserve"> - Número de procedimentos pré-processuais de reconhecimento de paternidade tratados no âmbito dos Centros Judiciários de Solução de Conflitos e Cidadania no setor pré-processual ou no programa Paternidade para Todos.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138</w:t>
            </w:r>
            <w:r>
              <w:rPr>
                <w:rFonts w:ascii="Calibri" w:hAnsi="Calibri"/>
                <w:sz w:val="18"/>
              </w:rPr>
              <w:t xml:space="preserve"> - Promover, em 2025, um atendimento de, no mínimo, 1200 (um mil e duzentos) procedimentos pré-processuais de reconhecimento de paternidade.</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Superintendência da Gestão de Inovação</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1.935</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De janeiro a agosto, foram realizados 1.935 procedimentos pré-processuais de reconhecimento de paternidade, alcançando-se, portanto, a meta antes do final do ano.</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5.9</w:t>
            </w:r>
            <w:r>
              <w:rPr>
                <w:rFonts w:ascii="Calibri" w:hAnsi="Calibri"/>
                <w:sz w:val="18"/>
              </w:rPr>
              <w:t xml:space="preserve"> - Percentual de sessões agendadas nos Cejuscs.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97</w:t>
            </w:r>
            <w:r>
              <w:rPr>
                <w:rFonts w:ascii="Calibri" w:hAnsi="Calibri"/>
                <w:sz w:val="18"/>
              </w:rPr>
              <w:t xml:space="preserve"> - Aumentar, em 2025, uma média de pelo menos 1% (um por cento) no número de sessões agendadas nos CEJUSCs em relação ao ano anterior.</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Superintendência da Gestão de Inovação</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-36,54</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Com o objetivo de aumentar em 1% o número de sessões agendadas nos CEJUSCs em comparação com o ano anterior, o qual registrou 290.732 sessões agendadas. De janeiro a julho, foram agendadas 184.502 sessões nos CEJUSCs. Embora o resultado final seja consolidado apenas após o último dia útil do expediente forense, o resultado apresenta a expectativa de conclusão da meta no final do ano.</w:t>
            </w:r>
          </w:p>
        </w:tc>
      </w:tr>
    </w:tbl>
    <w:p>
      <w:pPr>
        <w:sectPr>
          <w:headerReference w:type="default" r:id="rId15"/>
          <w:footerReference w:type="default" r:id="rId16"/>
          <w:pgSz w:w="16838" w:h="11906" w:orient="landscape"/>
          <w:pgMar w:top="1417" w:right="850" w:bottom="1417" w:left="1134" w:header="595" w:footer="595" w:gutter="0"/>
          <w:cols w:space="720"/>
          <w:docGrid w:linePitch="360"/>
        </w:sectPr>
      </w:pP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3.12</w:t>
            </w:r>
            <w:r>
              <w:rPr>
                <w:rFonts w:ascii="Calibri" w:hAnsi="Calibri"/>
                <w:sz w:val="18"/>
              </w:rPr>
              <w:t xml:space="preserve"> - Taxa de redução de mandados judiciais em atraso.</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10</w:t>
            </w:r>
            <w:r>
              <w:rPr>
                <w:rFonts w:ascii="Calibri" w:hAnsi="Calibri"/>
                <w:sz w:val="18"/>
              </w:rPr>
              <w:t xml:space="preserve"> - Reduzir, até 31/12/2025, em 30% (trinta por cento) os mandados judiciais em atraso na 1ª instância, há mais de 30 (trinta) dias.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DIRCOR</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40,02</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Em junho de 2025, apurou-se um montante de 33.806 mandados judiciais em atraso na Primeira Instância há mais de 30 (trinta) dias, o que corresponde a uma redução de 40,02% dos mandados judiciais em atraso em relação a dezembro de 2024 (56.524 mandados em atraso). É esperada uma redução de, pelo menos, 12% no ano. Embora a meta tenha sido alcançada no 1º semestre, é necessário manter o bom resultado até o final do ano. Visando o alcance da meta, a Gerência de Mandados (GEMAN) promoveu cooperações entre oficiais de justiça em comarcas que possuíam maior número de mandados judicias em atraso ou maior volume de mandados judiciais a serem cumpridos. No 1º semestre deste ano, ocorreram cooperações em: Paraguaçu, Itabirito, Sabará, Mariana e Águas Formosas. Não há previsão de cooperação para o 2º semestre, tendo em vista que está em análise a viabilidade de implantação de um projeto de cooperação permanente, em parceria com o sindicato (Sindojus). Adicionalmente, está sendo avaliada a possibilidade de envio de lembretes automáticos para as Centrais de Mandados, a partir do Painel de Mandados Distribuídos e Redistribuídos, sempre que, por exemplo, os mandados estiverem próximos ao vencimento ou atrasados. Além disso, foi instituído o projeto piloto “Cooperação de Oficiais de Justiça na Busca e Restrições de Bens – CBRB”. De acordo com a Portaria conjunta 1664/PR/2025, que institui o projeto piloto, a cooperação será destinada à realização das atividades afetas à busca, à pesquisa e à restrição de bens por oficiais de justiça lotados na Comarca de Belo Horizonte em cooperação com a Central de Cumprimento de Sentença Cível – CENTRASE, contemplando, inclusive, os processos que estiverem remetidos à Central de Pesquisa Patrimonial - CPP.</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3.61</w:t>
            </w:r>
            <w:r>
              <w:rPr>
                <w:rFonts w:ascii="Calibri" w:hAnsi="Calibri"/>
                <w:sz w:val="18"/>
              </w:rPr>
              <w:t xml:space="preserve"> - Taxa de virtualização do acervo físico de inquéritos policiais nas comarcas do Estado.</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141</w:t>
            </w:r>
            <w:r>
              <w:rPr>
                <w:rFonts w:ascii="Calibri" w:hAnsi="Calibri"/>
                <w:sz w:val="18"/>
              </w:rPr>
              <w:t xml:space="preserve"> - Virtualizar, em 2025, o acervo físico de inquéritos policiais em 100% (cem por cento) das comarcas do Estado de Minas Gerais.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SEPLAN</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65,64</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92</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Referente a meta TJMG 141, o resultado apurado até 26/09/2025 foi de 65,64%. Analisando o resultado por região da Corregedoria, observa-se que: na 1ª Região houve a virtualização de 97,15% dos inquéritos policiais; na 2ª Região, 73,04%; na 3ª região, 53,05%; na 4ª região, 49,56%; na 5ª região, 55,94% e na 6ª região, 68,38%. Tendo em vista a suspensão parcial, até outubro de 2025, do fluxo estabelecido para o recolhimento dos inquéritos nas comarcas e delegacias de Minas Gerais, há um risco de não alcance da meta, pois parte dos inquéritos seriam virtualizados apenas em 2026.</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3.62</w:t>
            </w:r>
            <w:r>
              <w:rPr>
                <w:rFonts w:ascii="Calibri" w:hAnsi="Calibri"/>
                <w:sz w:val="18"/>
              </w:rPr>
              <w:t xml:space="preserve"> - Taxa de expansão do Pje para a classe inquérito policial nas comarcas do Estado.</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142</w:t>
            </w:r>
            <w:r>
              <w:rPr>
                <w:rFonts w:ascii="Calibri" w:hAnsi="Calibri"/>
                <w:sz w:val="18"/>
              </w:rPr>
              <w:t xml:space="preserve"> - Expandir o PJE para a classe inquéritos policiais em 100% (cem por cento) das comarcas em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SEPLAN</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100</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92</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Ainda no 1º semestre de 2025, o PJe foi expandido para a classe inquéritos policiais em 100% das comarcas do Estado de Minas Gerais. Considerando o que determina a Portaria Conjunta nº 46/PR-TJMG/2024, essa expansão viabilizou a implantação da modalidade eletrônica de tramitação de inquéritos policiais e quaisquer outras as medidas penais cautelares ou preparatórias entre o Poder Judiciário do Estado de Minas Gerais e a Polícia Civil do Estado de Minas Gerais - PCMG, tanto para fins de cadastro e distribuição, quanto em qualquer manifestação intercorrente.</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3.63</w:t>
            </w:r>
            <w:r>
              <w:rPr>
                <w:rFonts w:ascii="Calibri" w:hAnsi="Calibri"/>
                <w:sz w:val="18"/>
              </w:rPr>
              <w:t xml:space="preserve"> - Taxa de redução de processos conclusos para Sentença, Decisão e Despacho há mais de 100 (cem) dias.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146</w:t>
            </w:r>
            <w:r>
              <w:rPr>
                <w:rFonts w:ascii="Calibri" w:hAnsi="Calibri"/>
                <w:sz w:val="18"/>
              </w:rPr>
              <w:t xml:space="preserve"> - Reduzir, até 31/12/2025, em 10% (dez por cento) o estoque dos processos conclusos para Sentença, Decisão e Despacho há mais de 100 (cem) dias na Justiça Comum e no JESP.</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DIRCOR</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Em maio de 2025, foi publicado o Provimento nº 193 de 15/05/2025, que dispõe sobre a fixação do prazo de 120 dias corridos como parâmetro para aferição de eventual morosidade do juízo, a ser observado em âmbito disciplinar e na atividade fiscalizatória da Corregedoria. Em decorrência disso, foi necessário alterar a meta TJMG 146 para adequar o desafio da Instituição ao novo prazo, conforme elencado a seguir: “TJMG 146 - Reduzir, até 31/12/2025, em 10% (dez por cento) o estoque dos processos conclusos para sentença, decisão e despacho há mais de 120 (cento e vinte) dias na Justiça Comum e no JESP”. Considerando a nova perspectiva para a meta, em junho de 2025 apurou-se um montante de 28.835 processos conclusos para sentença, decisão e despacho na Primeira Instância, há mais de 120 dias sem motivo legal, o que corresponde a uma redução de 0,4% do estoque dos processos em relação a dezembro de 2024 (29.351 processos). É esperada uma redução de 10% até o final de 2025.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3.64</w:t>
            </w:r>
            <w:r>
              <w:rPr>
                <w:rFonts w:ascii="Calibri" w:hAnsi="Calibri"/>
                <w:sz w:val="18"/>
              </w:rPr>
              <w:t xml:space="preserve"> - Taxa de redução de processos paralisados em secretaria sem motivo legal há mais de 100 (cem) dias.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147</w:t>
            </w:r>
            <w:r>
              <w:rPr>
                <w:rFonts w:ascii="Calibri" w:hAnsi="Calibri"/>
                <w:sz w:val="18"/>
              </w:rPr>
              <w:t xml:space="preserve"> - Reduzir, até 31/12/2025, em 10% (dez por cento) o estoque dos processos paralisados sem motivo legal, há mais de 100 (cem) dias, em secretaria na Justiça Comum e no JESP (excluídos os feitos do SEEU).</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DIRCOR</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Em maio de 2025, foi publicado o Provimento nº 193 de 15/05/2025, que dispõe sobre a fixação do prazo de 120 dias corridos como parâmetro para aferição de eventual morosidade do juízo, a ser observado em âmbito disciplinar e na atividade fiscalizatória da Corregedoria. Em decorrência disso, foi necessário alterar a meta TJMG 147 para adequar o desafio da Instituição ao novo prazo, conforme elencado a seguir: “TJMG 147 - Reduzir, até 31/12/2025, em 30% (trinta por cento) o estoque dos processos paralisados sem motivo legal, há mais de 120 (cento e vinte) dias, em secretaria na Justiça Comum e no JESP (excluídos os feitos do SEEU)”. Considerando a nova perspectiva para a meta, em junho de 2025 apurou-se um montante de 206.831 processos paralisados em secretaria na Primeira Instância há mais de 120 dias sem motivo legal, o que corresponde a um aumento de 5,7% do estoque dos processos em relação a dezembro de 2024 (195.632 processos). É esperada uma redução de 30% até o final de 2025.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3.65</w:t>
            </w:r>
            <w:r>
              <w:rPr>
                <w:rFonts w:ascii="Calibri" w:hAnsi="Calibri"/>
                <w:sz w:val="18"/>
              </w:rPr>
              <w:t xml:space="preserve"> - Taxa de redução do tempo médio de tramitação até a baixa do processo.</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148</w:t>
            </w:r>
            <w:r>
              <w:rPr>
                <w:rFonts w:ascii="Calibri" w:hAnsi="Calibri"/>
                <w:sz w:val="18"/>
              </w:rPr>
              <w:t xml:space="preserve"> - Reduzir, até 31/12/2025, em 4% (quatro por cento), o tempo médio de tramitação, em dias, dos feitos do acervo gerenciável, a partir da data de distribuição até a data da baixa, na Justiça Comum e no JESP</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DIRCOR</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4</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Em junho de 2025, apurou-se um tempo médio de tramitação dos feitos do acervo gerenciável, a partir da data de distribuição até a data da baixa, de 770 dias, o que corresponde a uma redução de 4% do tempo médio em relação a dezembro de 2024 (802 dias). Embora a meta tenha sido alcançada no 1º semestre, é necessário manter o bom resultado até o final do ano.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3.66</w:t>
            </w:r>
            <w:r>
              <w:rPr>
                <w:rFonts w:ascii="Calibri" w:hAnsi="Calibri"/>
                <w:sz w:val="18"/>
              </w:rPr>
              <w:t xml:space="preserve"> - Taxa de redução de feitos com indicação de réu falecido.</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149</w:t>
            </w:r>
            <w:r>
              <w:rPr>
                <w:rFonts w:ascii="Calibri" w:hAnsi="Calibri"/>
                <w:sz w:val="18"/>
              </w:rPr>
              <w:t xml:space="preserve"> - Reduzir, até 31/12/2025, 50% (cinquenta por cento) dos feitos em que tenha cadastrado réu falecido.</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DIRCOR</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-36,3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Em junho de 2025, apurou-se um montante de 5.498 processos que possuem réu falecido, o que corresponde a um aumento de 36,3% dos feitos em relação a dezembro de 2024 (4.035 processos). É esperada uma redução de, pelo menos, 50% no ano. Anualmente, o Tribunal de Justiça de Minas Gerais (TJMG) solicita ao Tribunal Regional Eleitoral (TRE) a listagem de pessoas falecidas no período, para que seja avaliada a possibilidade de baixar os processos judiciais com falecimento do imputado como autor do fato (réus falecidos). A partir do recebimento da listagem do TRE, é esperado um aumento imediato no quantitativo de processos, mas, considerando a previsão de realização do esforço concentrado para baixa desses processos, pelas unidades judiciárias, entre outubro e novembro deste ano, estima-se que a meta seja alcançada. Destaca-se, ainda, que está sendo desenvolvido um robô que automatizará a identificação da certidão de óbito do réu falecido e o Cartório de Registro Civil (CRC) em que foi registrada, desonerando o juiz dessa atividade e otimizando os trâmites necessários ao encerramento do processo.</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9.1</w:t>
            </w:r>
            <w:r>
              <w:rPr>
                <w:rFonts w:ascii="Calibri" w:hAnsi="Calibri"/>
                <w:sz w:val="18"/>
              </w:rPr>
              <w:t xml:space="preserve"> - Número de Unidades Judiciárias de 1º grau que implantaram o Desdobramento do Planejamento Estratégico.</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40</w:t>
            </w:r>
            <w:r>
              <w:rPr>
                <w:rFonts w:ascii="Calibri" w:hAnsi="Calibri"/>
                <w:sz w:val="18"/>
              </w:rPr>
              <w:t xml:space="preserve"> - Implantar o Desdobramento do Planejamento Estratégico - DPE em 30 (trinta) Unidades Judiciárias de 1º grau até 31/12/2025.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SEPLAN</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19</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11</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Até 28 de agosto de 2025, foram homologadas 19 portarias instituindo o Desdobramento do Planejamento Estratégico nas seguintes Unidades Judiciárias: </w:t>
            </w:r>
          </w:p>
          <w:p>
            <w:pPr>
              <w:spacing w:before="0" w:after="0"/>
              <w:jc w:val="both"/>
            </w:pPr>
            <w:r>
              <w:rPr>
                <w:rFonts w:ascii="Calibri" w:hAnsi="Calibri"/>
                <w:sz w:val="20"/>
              </w:rPr>
              <w:t>•</w:t>
            </w:r>
            <w:r>
              <w:rPr>
                <w:rFonts w:ascii="Calibri" w:hAnsi="Calibri"/>
                <w:sz w:val="20"/>
              </w:rPr>
              <w:t xml:space="preserve"> Lavras - 2ª Vara Criminal, da Infância e Juventude e Execuções Fiscais (Fev/2025); </w:t>
            </w:r>
          </w:p>
          <w:p>
            <w:pPr>
              <w:spacing w:before="0" w:after="0"/>
              <w:jc w:val="both"/>
            </w:pPr>
            <w:r>
              <w:rPr>
                <w:rFonts w:ascii="Calibri" w:hAnsi="Calibri"/>
                <w:sz w:val="20"/>
              </w:rPr>
              <w:t>•</w:t>
            </w:r>
            <w:r>
              <w:rPr>
                <w:rFonts w:ascii="Calibri" w:hAnsi="Calibri"/>
                <w:sz w:val="20"/>
              </w:rPr>
              <w:t xml:space="preserve"> Governador Valadares - 2ª Vara Cível (Fev/2025) </w:t>
            </w:r>
          </w:p>
          <w:p>
            <w:pPr>
              <w:spacing w:before="0" w:after="0"/>
              <w:jc w:val="both"/>
            </w:pPr>
            <w:r>
              <w:rPr>
                <w:rFonts w:ascii="Calibri" w:hAnsi="Calibri"/>
                <w:sz w:val="20"/>
              </w:rPr>
              <w:t>•</w:t>
            </w:r>
            <w:r>
              <w:rPr>
                <w:rFonts w:ascii="Calibri" w:hAnsi="Calibri"/>
                <w:sz w:val="20"/>
              </w:rPr>
              <w:t xml:space="preserve"> Araxá -2ª Vara Cível (março/2025) </w:t>
            </w:r>
          </w:p>
          <w:p>
            <w:pPr>
              <w:spacing w:before="0" w:after="0"/>
              <w:jc w:val="both"/>
            </w:pPr>
            <w:r>
              <w:rPr>
                <w:rFonts w:ascii="Calibri" w:hAnsi="Calibri"/>
                <w:sz w:val="20"/>
              </w:rPr>
              <w:t>•</w:t>
            </w:r>
            <w:r>
              <w:rPr>
                <w:rFonts w:ascii="Calibri" w:hAnsi="Calibri"/>
                <w:sz w:val="20"/>
              </w:rPr>
              <w:t xml:space="preserve"> Araxá - 2ª Vara Criminal e da Infancia e Juventude (março/2025) </w:t>
            </w:r>
          </w:p>
          <w:p>
            <w:pPr>
              <w:spacing w:before="0" w:after="0"/>
              <w:jc w:val="both"/>
            </w:pPr>
            <w:r>
              <w:rPr>
                <w:rFonts w:ascii="Calibri" w:hAnsi="Calibri"/>
                <w:sz w:val="20"/>
              </w:rPr>
              <w:t>•</w:t>
            </w:r>
            <w:r>
              <w:rPr>
                <w:rFonts w:ascii="Calibri" w:hAnsi="Calibri"/>
                <w:sz w:val="20"/>
              </w:rPr>
              <w:t xml:space="preserve"> Ipatinga - 2ª Vara Cível (março/2025) </w:t>
            </w:r>
          </w:p>
          <w:p>
            <w:pPr>
              <w:spacing w:before="0" w:after="0"/>
              <w:jc w:val="both"/>
            </w:pPr>
            <w:r>
              <w:rPr>
                <w:rFonts w:ascii="Calibri" w:hAnsi="Calibri"/>
                <w:sz w:val="20"/>
              </w:rPr>
              <w:t>•</w:t>
            </w:r>
            <w:r>
              <w:rPr>
                <w:rFonts w:ascii="Calibri" w:hAnsi="Calibri"/>
                <w:sz w:val="20"/>
              </w:rPr>
              <w:t xml:space="preserve"> Nova Lima - 2ª Vara Criminal e de Execuções Penais (março/2025) </w:t>
            </w:r>
          </w:p>
          <w:p>
            <w:pPr>
              <w:spacing w:before="0" w:after="0"/>
              <w:jc w:val="both"/>
            </w:pPr>
            <w:r>
              <w:rPr>
                <w:rFonts w:ascii="Calibri" w:hAnsi="Calibri"/>
                <w:sz w:val="20"/>
              </w:rPr>
              <w:t>•</w:t>
            </w:r>
            <w:r>
              <w:rPr>
                <w:rFonts w:ascii="Calibri" w:hAnsi="Calibri"/>
                <w:sz w:val="20"/>
              </w:rPr>
              <w:t xml:space="preserve"> Pirapetinga - Vara Única (abril/2025) </w:t>
            </w:r>
          </w:p>
          <w:p>
            <w:pPr>
              <w:spacing w:before="0" w:after="0"/>
              <w:jc w:val="both"/>
            </w:pPr>
            <w:r>
              <w:rPr>
                <w:rFonts w:ascii="Calibri" w:hAnsi="Calibri"/>
                <w:sz w:val="20"/>
              </w:rPr>
              <w:t>•</w:t>
            </w:r>
            <w:r>
              <w:rPr>
                <w:rFonts w:ascii="Calibri" w:hAnsi="Calibri"/>
                <w:sz w:val="20"/>
              </w:rPr>
              <w:t xml:space="preserve"> Extrema - 2ª Vara Civel, Criminal e da Juventudade (abril/2025) </w:t>
            </w:r>
          </w:p>
          <w:p>
            <w:pPr>
              <w:spacing w:before="0" w:after="0"/>
              <w:jc w:val="both"/>
            </w:pPr>
            <w:r>
              <w:rPr>
                <w:rFonts w:ascii="Calibri" w:hAnsi="Calibri"/>
                <w:sz w:val="20"/>
              </w:rPr>
              <w:t>•</w:t>
            </w:r>
            <w:r>
              <w:rPr>
                <w:rFonts w:ascii="Calibri" w:hAnsi="Calibri"/>
                <w:sz w:val="20"/>
              </w:rPr>
              <w:t xml:space="preserve"> Ipatinga - 2ª Vara Criminal (maio/2025) </w:t>
            </w:r>
          </w:p>
          <w:p>
            <w:pPr>
              <w:spacing w:before="0" w:after="0"/>
              <w:jc w:val="both"/>
            </w:pPr>
            <w:r>
              <w:rPr>
                <w:rFonts w:ascii="Calibri" w:hAnsi="Calibri"/>
                <w:sz w:val="20"/>
              </w:rPr>
              <w:t>•</w:t>
            </w:r>
            <w:r>
              <w:rPr>
                <w:rFonts w:ascii="Calibri" w:hAnsi="Calibri"/>
                <w:sz w:val="20"/>
              </w:rPr>
              <w:t xml:space="preserve"> Corinto - Vara Única (Segundo Ciclo de DPE) (maio/2025) </w:t>
            </w:r>
          </w:p>
          <w:p>
            <w:pPr>
              <w:spacing w:before="0" w:after="0"/>
              <w:jc w:val="both"/>
            </w:pPr>
            <w:r>
              <w:rPr>
                <w:rFonts w:ascii="Calibri" w:hAnsi="Calibri"/>
                <w:sz w:val="20"/>
              </w:rPr>
              <w:t>•</w:t>
            </w:r>
            <w:r>
              <w:rPr>
                <w:rFonts w:ascii="Calibri" w:hAnsi="Calibri"/>
                <w:sz w:val="20"/>
              </w:rPr>
              <w:t xml:space="preserve"> Catagueses - Vara de Família, da Infância e da Juventude e de Precatórias (junho/2025) </w:t>
            </w:r>
          </w:p>
          <w:p>
            <w:pPr>
              <w:spacing w:before="0" w:after="0"/>
              <w:jc w:val="both"/>
            </w:pPr>
            <w:r>
              <w:rPr>
                <w:rFonts w:ascii="Calibri" w:hAnsi="Calibri"/>
                <w:sz w:val="20"/>
              </w:rPr>
              <w:t>•</w:t>
            </w:r>
            <w:r>
              <w:rPr>
                <w:rFonts w:ascii="Calibri" w:hAnsi="Calibri"/>
                <w:sz w:val="20"/>
              </w:rPr>
              <w:t xml:space="preserve"> Contagem - 6ª Vara Cível (Segundo Ciclo de DPE) (junho/2025) </w:t>
            </w:r>
          </w:p>
          <w:p>
            <w:pPr>
              <w:spacing w:before="0" w:after="0"/>
              <w:jc w:val="both"/>
            </w:pPr>
            <w:r>
              <w:rPr>
                <w:rFonts w:ascii="Calibri" w:hAnsi="Calibri"/>
                <w:sz w:val="20"/>
              </w:rPr>
              <w:t>•</w:t>
            </w:r>
            <w:r>
              <w:rPr>
                <w:rFonts w:ascii="Calibri" w:hAnsi="Calibri"/>
                <w:sz w:val="20"/>
              </w:rPr>
              <w:t xml:space="preserve"> Pedra Azul - 1ª Vara Cível, Criminal e de Execuções Penais (junho/2025) </w:t>
            </w:r>
          </w:p>
          <w:p>
            <w:pPr>
              <w:spacing w:before="0" w:after="0"/>
              <w:jc w:val="both"/>
            </w:pPr>
            <w:r>
              <w:rPr>
                <w:rFonts w:ascii="Calibri" w:hAnsi="Calibri"/>
                <w:sz w:val="20"/>
              </w:rPr>
              <w:t>•</w:t>
            </w:r>
            <w:r>
              <w:rPr>
                <w:rFonts w:ascii="Calibri" w:hAnsi="Calibri"/>
                <w:sz w:val="20"/>
              </w:rPr>
              <w:t xml:space="preserve"> Patos de Minas - 3ª Vara Cível (julho/2025) </w:t>
            </w:r>
          </w:p>
          <w:p>
            <w:pPr>
              <w:spacing w:before="0" w:after="0"/>
              <w:jc w:val="both"/>
            </w:pPr>
            <w:r>
              <w:rPr>
                <w:rFonts w:ascii="Calibri" w:hAnsi="Calibri"/>
                <w:sz w:val="20"/>
              </w:rPr>
              <w:t>•</w:t>
            </w:r>
            <w:r>
              <w:rPr>
                <w:rFonts w:ascii="Calibri" w:hAnsi="Calibri"/>
                <w:sz w:val="20"/>
              </w:rPr>
              <w:t xml:space="preserve"> Ubá - 2ª Vara Cível (julho/2025) </w:t>
            </w:r>
          </w:p>
          <w:p>
            <w:pPr>
              <w:spacing w:before="0" w:after="0"/>
              <w:jc w:val="both"/>
            </w:pPr>
            <w:r>
              <w:rPr>
                <w:rFonts w:ascii="Calibri" w:hAnsi="Calibri"/>
                <w:sz w:val="20"/>
              </w:rPr>
              <w:t>•</w:t>
            </w:r>
            <w:r>
              <w:rPr>
                <w:rFonts w:ascii="Calibri" w:hAnsi="Calibri"/>
                <w:sz w:val="20"/>
              </w:rPr>
              <w:t xml:space="preserve"> Belo Horizonte - 12ª Vara de Família (agosto/2025) </w:t>
            </w:r>
          </w:p>
          <w:p>
            <w:pPr>
              <w:spacing w:before="0" w:after="0"/>
              <w:jc w:val="both"/>
            </w:pPr>
            <w:r>
              <w:rPr>
                <w:rFonts w:ascii="Calibri" w:hAnsi="Calibri"/>
                <w:sz w:val="20"/>
              </w:rPr>
              <w:t>•</w:t>
            </w:r>
            <w:r>
              <w:rPr>
                <w:rFonts w:ascii="Calibri" w:hAnsi="Calibri"/>
                <w:sz w:val="20"/>
              </w:rPr>
              <w:t xml:space="preserve"> Jequitinhonha -Vara Única (Segundo Ciclo de DPE) (agosto/2025) </w:t>
            </w:r>
          </w:p>
          <w:p>
            <w:pPr>
              <w:spacing w:before="0" w:after="0"/>
              <w:jc w:val="both"/>
            </w:pPr>
            <w:r>
              <w:rPr>
                <w:rFonts w:ascii="Calibri" w:hAnsi="Calibri"/>
                <w:sz w:val="20"/>
              </w:rPr>
              <w:t>•</w:t>
            </w:r>
            <w:r>
              <w:rPr>
                <w:rFonts w:ascii="Calibri" w:hAnsi="Calibri"/>
                <w:sz w:val="20"/>
              </w:rPr>
              <w:t xml:space="preserve"> Mar de Espanha - Vara Única (agosto/2025) </w:t>
            </w:r>
          </w:p>
          <w:p>
            <w:pPr>
              <w:spacing w:before="0" w:after="0"/>
              <w:jc w:val="both"/>
            </w:pPr>
            <w:r>
              <w:rPr>
                <w:rFonts w:ascii="Calibri" w:hAnsi="Calibri"/>
                <w:sz w:val="20"/>
              </w:rPr>
              <w:t>•</w:t>
            </w:r>
            <w:r>
              <w:rPr>
                <w:rFonts w:ascii="Calibri" w:hAnsi="Calibri"/>
                <w:sz w:val="20"/>
              </w:rPr>
              <w:t xml:space="preserve"> Monte Santo de Minas - Vara Única (agosto/2025)</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9.29</w:t>
            </w:r>
            <w:r>
              <w:rPr>
                <w:rFonts w:ascii="Calibri" w:hAnsi="Calibri"/>
                <w:sz w:val="18"/>
              </w:rPr>
              <w:t xml:space="preserve"> - Taxa de implantação do Painel de Gestão Automatizada de Receitas Judiciais.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129</w:t>
            </w:r>
            <w:r>
              <w:rPr>
                <w:rFonts w:ascii="Calibri" w:hAnsi="Calibri"/>
                <w:sz w:val="18"/>
              </w:rPr>
              <w:t xml:space="preserve"> - Executar 100% (cem por cento) das entregas previstas na iniciativa Painel de Gestão Automatizada de Receitas Judiciais até junho de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SEPLAN</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93</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Inicialmente, o projeto previa a disponibilização de um painel para a Gestão Automatizada de Receitas Judiciais para a Comarca de Belo Horizonte e para o interior, focando em processos ativos, até junho de 2025. Com o desenvolvimento do projeto, bem como em decorrência da reunião realizada com o presidente do TJMG e o corregedor, foram identificadas novas oportunidades para o referido painel, o que resultou tanto no aumento do escopo das fases 1 e 2, contemplando novas funcionalidades, quanto na inclusão da 3ª fase, afeta a processos baixados. Com isso, houve a inclusão de 4 novas entregas no escopo do projeto, afetas à 3ª fase do projeto: Desenvolvimento do protótipo do painel com dados dos processos baixados do PJe; Integração com o sistema eproc; Realização de estudo sobre o uso de Inteligência Artificial; Realização de estudo sobre a integração com o SISCOM. Consequentemente, a meta também sofreu alteração. O projeto não será mais concluído até junho de 2025 e sim até dezembro de 2025. Dessa forma, foi proposta a alteração da meta para: TJMG 129 - Executar 100% do projeto de Painel de Gestão Automatizada de Receitas Judiciais até dezembro de 2025. Considerando esse novo cenário, verifica-se que até setembro de 2025 foram executados 57,4% das atividades previstas. Entre as entregas realizadas, destaca-se que o painel já está em uso na Comarca de Belo Horizonte, subsidiando os setores de contabilidade e a Central de Custas. Além disso, foi disponibilizada a 1ª versão da 2ª etapa do Painel para Contadorias Específicas do Interior (versão com dados das comarcas do interior e do Módulo Cartas Precatórias).</w:t>
            </w:r>
          </w:p>
        </w:tc>
      </w:tr>
    </w:tbl>
    <w:p>
      <w:pPr>
        <w:sectPr>
          <w:headerReference w:type="default" r:id="rId17"/>
          <w:footerReference w:type="default" r:id="rId18"/>
          <w:pgSz w:w="16838" w:h="11906" w:orient="landscape"/>
          <w:pgMar w:top="1417" w:right="850" w:bottom="1417" w:left="1134" w:header="595" w:footer="595" w:gutter="0"/>
          <w:cols w:space="720"/>
          <w:docGrid w:linePitch="360"/>
        </w:sectPr>
      </w:pP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3.31</w:t>
            </w:r>
            <w:r>
              <w:rPr>
                <w:rFonts w:ascii="Calibri" w:hAnsi="Calibri"/>
                <w:sz w:val="18"/>
              </w:rPr>
              <w:t xml:space="preserve"> - Taxa de execução do plano de Integração do Sistema PJe com o e-Carta Correios.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79</w:t>
            </w:r>
            <w:r>
              <w:rPr>
                <w:rFonts w:ascii="Calibri" w:hAnsi="Calibri"/>
                <w:sz w:val="18"/>
              </w:rPr>
              <w:t xml:space="preserve"> - Executar, até 2025, 100% (cem por cento) das atividades previstas no plano de Integração do Sistema PJe com o e-Carta Correios.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SEPLAN</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45,5</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67</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Em 2024, foi implantado o piloto da integração do Sistema Judicial Eletrônico - PJe com o e-Carta Correios na Comarca de Arinos, com expectativa de expansão as demais comarcas do Estado dentro do mesmo ano. Entretanto, embora os fluxos de envio e o retorno de informações dos Correios estivessem funcionando corretamente, verificou-se a necessidade de corrigir questões técnicas que inviabilizavam a expansão do projeto, sendo elas: a implementação do QRCode no PJE para viabilizar a contrafé eletrônica e também a implementação da contagem de prazos de forma automática pelo sistema, melhor detalhadas no monitoramento da iniciativa estratégica. Com vistas à resolução da questão, a Diretoria Executiva de Tecnologia da Informação e Comunicação – DIRTEC foi acionada e apresentou o prazo de 30 de setembro para análise e providências das questões identificadas. Diante disso, em junho de 2025, as áreas técnicas envolvidas no projeto se reuniram para discutir a viabilidade de manutenção da iniciativa considerando fatores como: a atual diretriz institucional voltada à implantação e expansão do sistema eproc, atualmente em curso neste Tribunal; o fato de o sistema eproc já possuir integração plena com o E-carta; a rápida expansão do eproc, que, a partir de setembro, será estendida para mais 39 comarcas, com previsão de conclusão da implantação em todas as varas cíveis e JESP até maio do próximo ano, e; a liberação do migrador para transportar processos do PJe para o eproc, previsto para agosto de 2025, prazo anterior ao apresentado pela DIRTEC para a correção dos problemas. Pelo exposto, deliberou-se pelo encerramento das demandas de adequação junto à DIRTEC, bem como da expansão do projeto para as comarcas do Estado, resultando no consequente encerramento desta iniciativa, conforme a Decisão 18610 do processo SEI 0936530-72.2022.8.13.0000. Até o encerramento do projeto, 45,5% das atividades previstas no Plano de Integração do Sistema PJe com o e-Carta Correios, foram concluídas, de forma que a meta estabelecida para o ano de 2025 (100%) não foi alcançada.</w:t>
            </w:r>
          </w:p>
        </w:tc>
      </w:tr>
    </w:tbl>
    <w:sectPr w:rsidR="00FC693F" w:rsidRPr="0006063C" w:rsidSect="00034616">
      <w:headerReference w:type="default" r:id="rId19"/>
      <w:footerReference w:type="default" r:id="rId20"/>
      <w:pgSz w:w="16838" w:h="11906" w:orient="landscape"/>
      <w:pgMar w:top="1417" w:right="850" w:bottom="1417" w:left="1134" w:header="595" w:footer="59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spacing w:after="0"/>
      <w:jc w:val="left"/>
    </w:pPr>
    <w:r>
      <w:rPr>
        <w:rFonts w:ascii="Calibri" w:hAnsi="Calibri"/>
        <w:sz w:val="18"/>
      </w:rPr>
      <w:t>Assessoria Técnica e Jurídica ao Planejamento e à Gestão Institucional - ASPLAG</w:t>
    </w:r>
  </w:p>
  <w:p>
    <w:pPr>
      <w:spacing w:after="0"/>
      <w:jc w:val="left"/>
    </w:pPr>
    <w:r>
      <w:rPr>
        <w:rFonts w:ascii="Calibri" w:hAnsi="Calibri"/>
        <w:sz w:val="18"/>
      </w:rPr>
      <w:t>Diretoria Executiva de Planejamento Orçamentário e Qualidade na Gestão Institucional - DEPLAG</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sz w:val="18"/>
      </w:rPr>
      <w:t>Assessoria Técnica e Jurídica ao Planejamento e à Gestão Institucional - ASPLAG</w:t>
    </w:r>
  </w:p>
  <w:p>
    <w:pPr>
      <w:spacing w:after="0"/>
      <w:jc w:val="left"/>
    </w:pPr>
    <w:r>
      <w:rPr>
        <w:rFonts w:ascii="Calibri" w:hAnsi="Calibri"/>
        <w:sz w:val="18"/>
      </w:rPr>
      <w:t>Diretoria Executiva de Planejamento Orçamentário e Qualidade na Gestão Institucional - DEPLAG</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sz w:val="18"/>
      </w:rPr>
      <w:t>Assessoria Técnica e Jurídica ao Planejamento e à Gestão Institucional - ASPLAG</w:t>
    </w:r>
  </w:p>
  <w:p>
    <w:pPr>
      <w:spacing w:after="0"/>
      <w:jc w:val="left"/>
    </w:pPr>
    <w:r>
      <w:rPr>
        <w:rFonts w:ascii="Calibri" w:hAnsi="Calibri"/>
        <w:sz w:val="18"/>
      </w:rPr>
      <w:t>Diretoria Executiva de Planejamento Orçamentário e Qualidade na Gestão Institucional - DEPLAG</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sz w:val="18"/>
      </w:rPr>
      <w:t>Assessoria Técnica e Jurídica ao Planejamento e à Gestão Institucional - ASPLAG</w:t>
    </w:r>
  </w:p>
  <w:p>
    <w:pPr>
      <w:spacing w:after="0"/>
      <w:jc w:val="left"/>
    </w:pPr>
    <w:r>
      <w:rPr>
        <w:rFonts w:ascii="Calibri" w:hAnsi="Calibri"/>
        <w:sz w:val="18"/>
      </w:rPr>
      <w:t>Diretoria Executiva de Planejamento Orçamentário e Qualidade na Gestão Institucional - DEPLAG</w:t>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sz w:val="18"/>
      </w:rPr>
      <w:t>Assessoria Técnica e Jurídica ao Planejamento e à Gestão Institucional - ASPLAG</w:t>
    </w:r>
  </w:p>
  <w:p>
    <w:pPr>
      <w:spacing w:after="0"/>
      <w:jc w:val="left"/>
    </w:pPr>
    <w:r>
      <w:rPr>
        <w:rFonts w:ascii="Calibri" w:hAnsi="Calibri"/>
        <w:sz w:val="18"/>
      </w:rPr>
      <w:t>Diretoria Executiva de Planejamento Orçamentário e Qualidade na Gestão Institucional - DEPLAG</w:t>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sz w:val="18"/>
      </w:rPr>
      <w:t>Assessoria Técnica e Jurídica ao Planejamento e à Gestão Institucional - ASPLAG</w:t>
    </w:r>
  </w:p>
  <w:p>
    <w:pPr>
      <w:spacing w:after="0"/>
      <w:jc w:val="left"/>
    </w:pPr>
    <w:r>
      <w:rPr>
        <w:rFonts w:ascii="Calibri" w:hAnsi="Calibri"/>
        <w:sz w:val="18"/>
      </w:rPr>
      <w:t>Diretoria Executiva de Planejamento Orçamentário e Qualidade na Gestão Institucional - DEPLAG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PRESIDÊNCIA</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1ª VICE-PRESIDÊNCIA</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2ª VICE PRESIDÊNCIA</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3ª VICE - PRESIDÊNCIA</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CORREGEDORIA</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SEM CLASSIFICAÇÃO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header" Target="header6.xml"/><Relationship Id="rId20"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