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Calibri" w:hAnsi="Calibri"/>
          <w:b/>
          <w:sz w:val="28"/>
        </w:rPr>
        <w:t>SUMÁRIO</w:t>
      </w:r>
    </w:p>
    <w:p>
      <w:pPr>
        <w:spacing w:after="0"/>
        <w:ind w:left="0"/>
        <w:tabs>
          <w:tab w:val="right" w:pos="9070" w:leader="dot"/>
        </w:tabs>
      </w:pPr>
      <w:r>
        <w:rPr>
          <w:rFonts w:ascii="Calibri" w:hAnsi="Calibri"/>
          <w:b/>
          <w:sz w:val="20"/>
        </w:rPr>
        <w:t>1   INTRODUÇÃO</w:t>
      </w:r>
      <w:r>
        <w:tab/>
      </w:r>
      <w:r>
        <w:rPr>
          <w:rFonts w:ascii="Calibri" w:hAnsi="Calibri"/>
          <w:sz w:val="20"/>
        </w:rPr>
        <w:t>1</w:t>
      </w:r>
    </w:p>
    <w:p>
      <w:pPr>
        <w:spacing w:after="0"/>
        <w:ind w:left="0"/>
        <w:tabs>
          <w:tab w:val="right" w:pos="9070" w:leader="dot"/>
        </w:tabs>
      </w:pPr>
      <w:r>
        <w:rPr>
          <w:rFonts w:ascii="Calibri" w:hAnsi="Calibri"/>
          <w:b/>
          <w:sz w:val="20"/>
        </w:rPr>
        <w:t>2   OBJETIVO DO RELATÓRIO</w:t>
      </w:r>
      <w:r>
        <w:tab/>
      </w:r>
      <w:r>
        <w:rPr>
          <w:rFonts w:ascii="Calibri" w:hAnsi="Calibri"/>
          <w:sz w:val="20"/>
        </w:rPr>
        <w:t>1</w:t>
      </w:r>
    </w:p>
    <w:p>
      <w:pPr>
        <w:spacing w:after="0"/>
        <w:ind w:left="0"/>
        <w:tabs>
          <w:tab w:val="right" w:pos="9070" w:leader="dot"/>
        </w:tabs>
      </w:pPr>
      <w:r>
        <w:rPr>
          <w:rFonts w:ascii="Calibri" w:hAnsi="Calibri"/>
          <w:b/>
          <w:sz w:val="20"/>
        </w:rPr>
        <w:t>3   EVOLUÇÃO DO PAINEL ESTRATÉGICO NO CICLO 2021 - 2026</w:t>
      </w:r>
      <w:r>
        <w:tab/>
      </w:r>
      <w:r>
        <w:rPr>
          <w:rFonts w:ascii="Calibri" w:hAnsi="Calibri"/>
          <w:sz w:val="20"/>
        </w:rPr>
        <w:t>1</w:t>
      </w:r>
    </w:p>
    <w:p>
      <w:pPr>
        <w:spacing w:after="0"/>
        <w:ind w:left="0"/>
        <w:tabs>
          <w:tab w:val="right" w:pos="9070" w:leader="dot"/>
        </w:tabs>
      </w:pPr>
      <w:r>
        <w:rPr>
          <w:rFonts w:ascii="Calibri" w:hAnsi="Calibri"/>
          <w:b/>
          <w:sz w:val="20"/>
        </w:rPr>
        <w:t>4   RESULTADOS ALCANÇADOS</w:t>
      </w:r>
      <w:r>
        <w:tab/>
      </w:r>
      <w:r>
        <w:rPr>
          <w:rFonts w:ascii="Calibri" w:hAnsi="Calibri"/>
          <w:sz w:val="20"/>
        </w:rPr>
        <w:t>1</w:t>
      </w:r>
    </w:p>
    <w:p>
      <w:pPr>
        <w:spacing w:after="0"/>
        <w:ind w:left="283"/>
        <w:tabs>
          <w:tab w:val="right" w:pos="9070" w:leader="dot"/>
        </w:tabs>
      </w:pPr>
      <w:r>
        <w:rPr>
          <w:rFonts w:ascii="Calibri" w:hAnsi="Calibri"/>
          <w:sz w:val="20"/>
        </w:rPr>
        <w:t>4.1   METAS NACIONAIS</w:t>
      </w:r>
      <w:r>
        <w:tab/>
      </w:r>
      <w:r>
        <w:rPr>
          <w:rFonts w:ascii="Calibri" w:hAnsi="Calibri"/>
          <w:sz w:val="20"/>
        </w:rPr>
        <w:t>1</w:t>
      </w:r>
    </w:p>
    <w:p>
      <w:pPr>
        <w:spacing w:after="0"/>
        <w:ind w:left="283"/>
        <w:tabs>
          <w:tab w:val="right" w:pos="9070" w:leader="dot"/>
        </w:tabs>
      </w:pPr>
      <w:r>
        <w:rPr>
          <w:rFonts w:ascii="Calibri" w:hAnsi="Calibri"/>
          <w:sz w:val="20"/>
        </w:rPr>
        <w:t>4.2   METAS INSTITUCIONAIS</w:t>
      </w:r>
      <w:r>
        <w:tab/>
      </w:r>
      <w:r>
        <w:rPr>
          <w:rFonts w:ascii="Calibri" w:hAnsi="Calibri"/>
          <w:sz w:val="20"/>
        </w:rPr>
        <w:t>1</w:t>
      </w:r>
    </w:p>
    <w:p>
      <w:pPr>
        <w:spacing w:after="0"/>
        <w:ind w:left="0"/>
        <w:tabs>
          <w:tab w:val="right" w:pos="9070" w:leader="dot"/>
        </w:tabs>
      </w:pPr>
      <w:r>
        <w:rPr>
          <w:rFonts w:ascii="Calibri" w:hAnsi="Calibri"/>
          <w:b/>
          <w:sz w:val="20"/>
        </w:rPr>
        <w:t>5   MONITORAMENTO DE METAS INSTITUCIONAIS</w:t>
      </w:r>
      <w:r>
        <w:tab/>
      </w:r>
      <w:r>
        <w:rPr>
          <w:rFonts w:ascii="Calibri" w:hAnsi="Calibri"/>
          <w:sz w:val="20"/>
        </w:rPr>
        <w:t>1</w:t>
      </w:r>
    </w:p>
    <w:p>
      <w:pPr>
        <w:spacing w:after="240"/>
      </w:pPr>
    </w:p>
    <w:p>
      <w:pPr>
        <w:spacing w:before="120" w:after="60"/>
      </w:pPr>
      <w:r>
        <w:rPr>
          <w:rFonts w:ascii="Calibri" w:hAnsi="Calibri"/>
          <w:b/>
          <w:sz w:val="20"/>
        </w:rPr>
        <w:t>1ª VICE-PRESIDÊNCIA</w:t>
      </w:r>
    </w:p>
    <w:p>
      <w:pPr>
        <w:spacing w:after="0"/>
        <w:ind w:left="283"/>
        <w:tabs>
          <w:tab w:val="right" w:pos="9070" w:leader="dot"/>
        </w:tabs>
      </w:pPr>
      <w:r>
        <w:rPr>
          <w:rFonts w:ascii="Calibri" w:hAnsi="Calibri"/>
          <w:sz w:val="20"/>
        </w:rPr>
        <w:t>N/A</w:t>
      </w:r>
      <w:r>
        <w:tab/>
      </w:r>
      <w:r>
        <w:rPr>
          <w:rFonts w:ascii="Calibri" w:hAnsi="Calibri"/>
          <w:sz w:val="20"/>
        </w:rPr>
        <w:t>1</w:t>
      </w:r>
    </w:p>
    <w:p>
      <w:pPr>
        <w:spacing w:after="0"/>
        <w:ind w:left="283"/>
        <w:tabs>
          <w:tab w:val="right" w:pos="9070" w:leader="dot"/>
        </w:tabs>
      </w:pPr>
      <w:r>
        <w:rPr>
          <w:rFonts w:ascii="Calibri" w:hAnsi="Calibri"/>
          <w:sz w:val="20"/>
        </w:rPr>
        <w:t>N/A</w:t>
      </w:r>
      <w:r>
        <w:tab/>
      </w:r>
      <w:r>
        <w:rPr>
          <w:rFonts w:ascii="Calibri" w:hAnsi="Calibri"/>
          <w:sz w:val="20"/>
        </w:rPr>
        <w:t>1</w:t>
      </w:r>
    </w:p>
    <w:p>
      <w:pPr>
        <w:spacing w:after="0"/>
        <w:ind w:left="283"/>
        <w:tabs>
          <w:tab w:val="right" w:pos="9070" w:leader="dot"/>
        </w:tabs>
      </w:pPr>
      <w:r>
        <w:rPr>
          <w:rFonts w:ascii="Calibri" w:hAnsi="Calibri"/>
          <w:sz w:val="20"/>
        </w:rPr>
        <w:t>N/A</w:t>
      </w:r>
      <w:r>
        <w:tab/>
      </w:r>
      <w:r>
        <w:rPr>
          <w:rFonts w:ascii="Calibri" w:hAnsi="Calibri"/>
          <w:sz w:val="20"/>
        </w:rPr>
        <w:t>1</w:t>
      </w:r>
    </w:p>
    <w:p>
      <w:pPr>
        <w:spacing w:before="120" w:after="60"/>
      </w:pPr>
      <w:r>
        <w:rPr>
          <w:rFonts w:ascii="Calibri" w:hAnsi="Calibri"/>
          <w:b/>
          <w:sz w:val="20"/>
        </w:rPr>
        <w:t>2ª VICE PRESIDÊNCIA</w:t>
      </w:r>
    </w:p>
    <w:p>
      <w:pPr>
        <w:spacing w:after="0"/>
        <w:ind w:left="283"/>
        <w:tabs>
          <w:tab w:val="right" w:pos="9070" w:leader="dot"/>
        </w:tabs>
      </w:pPr>
      <w:r>
        <w:rPr>
          <w:rFonts w:ascii="Calibri" w:hAnsi="Calibri"/>
          <w:sz w:val="20"/>
        </w:rPr>
        <w:t>N/A</w:t>
      </w:r>
      <w:r>
        <w:tab/>
      </w:r>
      <w:r>
        <w:rPr>
          <w:rFonts w:ascii="Calibri" w:hAnsi="Calibri"/>
          <w:sz w:val="20"/>
        </w:rPr>
        <w:t>1</w:t>
      </w:r>
    </w:p>
    <w:p>
      <w:pPr>
        <w:spacing w:before="120" w:after="60"/>
      </w:pPr>
      <w:r>
        <w:rPr>
          <w:rFonts w:ascii="Calibri" w:hAnsi="Calibri"/>
          <w:b/>
          <w:sz w:val="20"/>
        </w:rPr>
        <w:t>3ª VICE - PRESIDÊNCIA</w:t>
      </w:r>
    </w:p>
    <w:p>
      <w:pPr>
        <w:spacing w:after="0"/>
        <w:ind w:left="283"/>
        <w:tabs>
          <w:tab w:val="right" w:pos="9070" w:leader="dot"/>
        </w:tabs>
      </w:pPr>
      <w:r>
        <w:rPr>
          <w:rFonts w:ascii="Calibri" w:hAnsi="Calibri"/>
          <w:sz w:val="20"/>
        </w:rPr>
        <w:t>N/A</w:t>
      </w:r>
      <w:r>
        <w:tab/>
      </w:r>
      <w:r>
        <w:rPr>
          <w:rFonts w:ascii="Calibri" w:hAnsi="Calibri"/>
          <w:sz w:val="20"/>
        </w:rPr>
        <w:t>1</w:t>
      </w:r>
    </w:p>
    <w:p>
      <w:pPr>
        <w:spacing w:after="0"/>
        <w:ind w:left="283"/>
        <w:tabs>
          <w:tab w:val="right" w:pos="9070" w:leader="dot"/>
        </w:tabs>
      </w:pPr>
      <w:r>
        <w:rPr>
          <w:rFonts w:ascii="Calibri" w:hAnsi="Calibri"/>
          <w:sz w:val="20"/>
        </w:rPr>
        <w:t>N/A</w:t>
      </w:r>
      <w:r>
        <w:tab/>
      </w:r>
      <w:r>
        <w:rPr>
          <w:rFonts w:ascii="Calibri" w:hAnsi="Calibri"/>
          <w:sz w:val="20"/>
        </w:rPr>
        <w:t>1</w:t>
      </w:r>
    </w:p>
    <w:p>
      <w:pPr>
        <w:spacing w:before="120" w:after="60"/>
      </w:pPr>
      <w:r>
        <w:rPr>
          <w:rFonts w:ascii="Calibri" w:hAnsi="Calibri"/>
          <w:b/>
          <w:sz w:val="20"/>
        </w:rPr>
        <w:t>CORREGEDORIA</w:t>
      </w:r>
    </w:p>
    <w:p>
      <w:pPr>
        <w:spacing w:after="0"/>
        <w:ind w:left="283"/>
        <w:tabs>
          <w:tab w:val="right" w:pos="9070" w:leader="dot"/>
        </w:tabs>
      </w:pPr>
      <w:r>
        <w:rPr>
          <w:rFonts w:ascii="Calibri" w:hAnsi="Calibri"/>
          <w:sz w:val="20"/>
        </w:rPr>
        <w:t>N/A</w:t>
      </w:r>
      <w:r>
        <w:tab/>
      </w:r>
      <w:r>
        <w:rPr>
          <w:rFonts w:ascii="Calibri" w:hAnsi="Calibri"/>
          <w:sz w:val="20"/>
        </w:rPr>
        <w:t>1</w:t>
      </w:r>
    </w:p>
    <w:p>
      <w:pPr>
        <w:spacing w:after="0"/>
        <w:ind w:left="283"/>
        <w:tabs>
          <w:tab w:val="right" w:pos="9070" w:leader="dot"/>
        </w:tabs>
      </w:pPr>
      <w:r>
        <w:rPr>
          <w:rFonts w:ascii="Calibri" w:hAnsi="Calibri"/>
          <w:sz w:val="20"/>
        </w:rPr>
        <w:t>N/A</w:t>
      </w:r>
      <w:r>
        <w:tab/>
      </w:r>
      <w:r>
        <w:rPr>
          <w:rFonts w:ascii="Calibri" w:hAnsi="Calibri"/>
          <w:sz w:val="20"/>
        </w:rPr>
        <w:t>1</w:t>
      </w:r>
    </w:p>
    <w:p>
      <w:pPr>
        <w:spacing w:before="120" w:after="60"/>
      </w:pPr>
      <w:r>
        <w:rPr>
          <w:rFonts w:ascii="Calibri" w:hAnsi="Calibri"/>
          <w:b/>
          <w:sz w:val="20"/>
        </w:rPr>
        <w:t>PRESIDÊNCIA</w:t>
      </w:r>
    </w:p>
    <w:p>
      <w:pPr>
        <w:spacing w:after="0"/>
        <w:ind w:left="283"/>
        <w:tabs>
          <w:tab w:val="right" w:pos="9070" w:leader="dot"/>
        </w:tabs>
      </w:pPr>
      <w:r>
        <w:rPr>
          <w:rFonts w:ascii="Calibri" w:hAnsi="Calibri"/>
          <w:sz w:val="20"/>
        </w:rPr>
        <w:t>N/A</w:t>
      </w:r>
      <w:r>
        <w:tab/>
      </w:r>
      <w:r>
        <w:rPr>
          <w:rFonts w:ascii="Calibri" w:hAnsi="Calibri"/>
          <w:sz w:val="20"/>
        </w:rPr>
        <w:t>1</w:t>
      </w:r>
    </w:p>
    <w:p>
      <w:pPr>
        <w:spacing w:after="0"/>
        <w:ind w:left="283"/>
        <w:tabs>
          <w:tab w:val="right" w:pos="9070" w:leader="dot"/>
        </w:tabs>
      </w:pPr>
      <w:r>
        <w:rPr>
          <w:rFonts w:ascii="Calibri" w:hAnsi="Calibri"/>
          <w:sz w:val="20"/>
        </w:rPr>
        <w:t>N/A</w:t>
      </w:r>
      <w:r>
        <w:tab/>
      </w:r>
      <w:r>
        <w:rPr>
          <w:rFonts w:ascii="Calibri" w:hAnsi="Calibri"/>
          <w:sz w:val="20"/>
        </w:rPr>
        <w:t>1</w:t>
      </w:r>
    </w:p>
    <w:p>
      <w:pPr>
        <w:spacing w:after="0"/>
        <w:ind w:left="283"/>
        <w:tabs>
          <w:tab w:val="right" w:pos="9070" w:leader="dot"/>
        </w:tabs>
      </w:pPr>
      <w:r>
        <w:rPr>
          <w:rFonts w:ascii="Calibri" w:hAnsi="Calibri"/>
          <w:sz w:val="20"/>
        </w:rPr>
        <w:t>N/A</w:t>
      </w:r>
      <w:r>
        <w:tab/>
      </w:r>
      <w:r>
        <w:rPr>
          <w:rFonts w:ascii="Calibri" w:hAnsi="Calibri"/>
          <w:sz w:val="20"/>
        </w:rPr>
        <w:t>1</w:t>
      </w:r>
    </w:p>
    <w:p>
      <w:pPr>
        <w:spacing w:after="0"/>
        <w:ind w:left="283"/>
        <w:tabs>
          <w:tab w:val="right" w:pos="9070" w:leader="dot"/>
        </w:tabs>
      </w:pPr>
      <w:r>
        <w:rPr>
          <w:rFonts w:ascii="Calibri" w:hAnsi="Calibri"/>
          <w:sz w:val="20"/>
        </w:rPr>
        <w:t>N/A</w:t>
      </w:r>
      <w:r>
        <w:tab/>
      </w:r>
      <w:r>
        <w:rPr>
          <w:rFonts w:ascii="Calibri" w:hAnsi="Calibri"/>
          <w:sz w:val="20"/>
        </w:rPr>
        <w:t>1</w:t>
      </w:r>
    </w:p>
    <w:p>
      <w:pPr>
        <w:spacing w:after="0"/>
        <w:ind w:left="283"/>
        <w:tabs>
          <w:tab w:val="right" w:pos="9070" w:leader="dot"/>
        </w:tabs>
      </w:pPr>
      <w:r>
        <w:rPr>
          <w:rFonts w:ascii="Calibri" w:hAnsi="Calibri"/>
          <w:sz w:val="20"/>
        </w:rPr>
        <w:t>N/A</w:t>
      </w:r>
      <w:r>
        <w:tab/>
      </w:r>
      <w:r>
        <w:rPr>
          <w:rFonts w:ascii="Calibri" w:hAnsi="Calibri"/>
          <w:sz w:val="20"/>
        </w:rPr>
        <w:t>1</w:t>
      </w:r>
    </w:p>
    <w:p>
      <w:pPr>
        <w:spacing w:before="0" w:after="0" w:line="240" w:lineRule="auto"/>
      </w:pPr>
      <w:r>
        <w:br w:type="page"/>
      </w:r>
    </w:p>
    <w:p>
      <w:pPr>
        <w:spacing w:before="360" w:after="240"/>
        <w:ind w:left="283"/>
      </w:pPr>
      <w:r>
        <w:rPr>
          <w:rFonts w:ascii="Calibri" w:hAnsi="Calibri"/>
          <w:b/>
          <w:color w:val="E36C0A"/>
          <w:sz w:val="28"/>
        </w:rPr>
        <w:t>1. INTRODUÇÃO</w:t>
      </w:r>
    </w:p>
    <w:p>
      <w:pPr>
        <w:spacing w:after="120" w:line="360" w:lineRule="auto"/>
        <w:ind w:left="283" w:firstLine="720"/>
        <w:jc w:val="both"/>
      </w:pPr>
      <w:r>
        <w:rPr>
          <w:rFonts w:ascii="Calibri" w:hAnsi="Calibri"/>
          <w:sz w:val="24"/>
        </w:rPr>
        <w:t xml:space="preserve">O Comitê de Governança e Gestão Estratégica aprovou a atualização do </w:t>
      </w:r>
      <w:r>
        <w:rPr>
          <w:rFonts w:ascii="Calibri" w:hAnsi="Calibri"/>
          <w:b/>
          <w:sz w:val="24"/>
        </w:rPr>
        <w:t>Painel Estratégico e o Quadro de Iniciativas do ano de 2024, componentes do Planejamento Estratégico Institucional</w:t>
      </w:r>
      <w:r>
        <w:rPr>
          <w:rFonts w:ascii="Calibri" w:hAnsi="Calibri"/>
          <w:sz w:val="24"/>
        </w:rPr>
        <w:t>, durante as Reuniões de Análise da Estratégia – RAE, realizadas nos dias 15 de abril e 20 de outubro de 2024.</w:t>
      </w:r>
    </w:p>
    <w:p>
      <w:pPr>
        <w:spacing w:after="120" w:line="360" w:lineRule="auto"/>
        <w:ind w:left="283" w:firstLine="720"/>
        <w:jc w:val="both"/>
      </w:pPr>
      <w:r>
        <w:rPr>
          <w:rFonts w:ascii="Calibri" w:hAnsi="Calibri"/>
          <w:sz w:val="24"/>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pPr>
        <w:spacing w:after="120" w:line="360" w:lineRule="auto"/>
        <w:ind w:left="283" w:firstLine="720"/>
        <w:jc w:val="both"/>
      </w:pPr>
      <w:r>
        <w:rPr>
          <w:rFonts w:ascii="Calibri" w:hAnsi="Calibri"/>
          <w:sz w:val="24"/>
        </w:rPr>
        <w:t xml:space="preserve">Diante da deliberação do referido Comitê, foi publicada e atualizada a </w:t>
      </w:r>
      <w:r>
        <w:rPr>
          <w:rFonts w:ascii="Calibri" w:hAnsi="Calibri"/>
          <w:b/>
          <w:sz w:val="24"/>
        </w:rPr>
        <w:t>Portaria Conjunta 1.550/2024</w:t>
      </w:r>
      <w:r>
        <w:rPr>
          <w:rFonts w:ascii="Calibri" w:hAnsi="Calibri"/>
          <w:sz w:val="24"/>
        </w:rPr>
        <w:t xml:space="preserve">, em observância ao art. 7º da Resolução 952/2020, que disciplina o Painel Estratégico e o Quadro de Iniciativas do ano 2024, </w:t>
      </w:r>
      <w:r>
        <w:rPr>
          <w:rFonts w:ascii="Calibri" w:hAnsi="Calibri"/>
          <w:b/>
          <w:sz w:val="24"/>
        </w:rPr>
        <w:t>priorizando 83 metas e 58 iniciativas</w:t>
      </w:r>
      <w:r>
        <w:rPr>
          <w:rFonts w:ascii="Calibri" w:hAnsi="Calibri"/>
          <w:sz w:val="24"/>
        </w:rPr>
        <w:t xml:space="preserve"> para comporem os referidos componentes, as quais foram monitoradas pela Assessoria Técnica e Jurídica ao Planejamento e à Gestão Institucional – ASPLAG/DEPLAG.</w:t>
      </w:r>
    </w:p>
    <w:p>
      <w:pPr>
        <w:spacing w:after="120" w:line="360" w:lineRule="auto"/>
        <w:ind w:left="283" w:firstLine="720"/>
        <w:jc w:val="both"/>
      </w:pPr>
      <w:r>
        <w:rPr>
          <w:rFonts w:ascii="Calibri" w:hAnsi="Calibri"/>
          <w:sz w:val="24"/>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pPr>
        <w:spacing w:after="120" w:line="360" w:lineRule="auto"/>
        <w:ind w:left="283" w:firstLine="720"/>
        <w:jc w:val="both"/>
      </w:pPr>
      <w:r>
        <w:rPr>
          <w:rFonts w:ascii="Calibri" w:hAnsi="Calibri"/>
          <w:sz w:val="24"/>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pPr>
        <w:spacing w:before="0" w:after="0" w:line="240" w:lineRule="auto"/>
      </w:pPr>
      <w:r>
        <w:br w:type="page"/>
      </w:r>
    </w:p>
    <w:p>
      <w:pPr>
        <w:spacing w:before="360" w:after="240"/>
        <w:ind w:left="283"/>
      </w:pPr>
      <w:r>
        <w:rPr>
          <w:rFonts w:ascii="Calibri" w:hAnsi="Calibri"/>
          <w:b/>
          <w:color w:val="E36C0A"/>
          <w:sz w:val="28"/>
        </w:rPr>
        <w:t>2. OBJETIVO DO RELATÓRIO</w:t>
      </w:r>
    </w:p>
    <w:p>
      <w:pPr>
        <w:spacing w:after="120" w:line="360" w:lineRule="auto"/>
        <w:ind w:left="283" w:firstLine="720"/>
        <w:jc w:val="both"/>
      </w:pPr>
      <w:r>
        <w:rPr>
          <w:rFonts w:ascii="Calibri" w:hAnsi="Calibri"/>
          <w:sz w:val="24"/>
        </w:rPr>
        <w:t xml:space="preserve">O objetivo deste relatório é </w:t>
      </w:r>
      <w:r>
        <w:rPr>
          <w:rFonts w:ascii="Calibri" w:hAnsi="Calibri"/>
          <w:b/>
          <w:sz w:val="24"/>
        </w:rPr>
        <w:t>apresentar os resultados das metas nacionais e institucionais estabelecidas para o ano 2024</w:t>
      </w:r>
      <w:r>
        <w:rPr>
          <w:rFonts w:ascii="Calibri" w:hAnsi="Calibri"/>
          <w:sz w:val="24"/>
        </w:rPr>
        <w:t>, visando a superação dos macrodesafios do ciclo 2021 – 2026. Ressalta-se que os resultados apresentados, em regra, se referem ao monitoramento final de 2024.</w:t>
      </w:r>
    </w:p>
    <w:p>
      <w:pPr>
        <w:spacing w:before="360" w:after="240"/>
        <w:ind w:left="283"/>
      </w:pPr>
      <w:r>
        <w:rPr>
          <w:rFonts w:ascii="Calibri" w:hAnsi="Calibri"/>
          <w:b/>
          <w:color w:val="E36C0A"/>
          <w:sz w:val="28"/>
        </w:rPr>
        <w:t>3. EVOLUÇÃO DO PAINEL ESTRATÉGICO NO CICLO 2021 - 2026</w:t>
      </w:r>
    </w:p>
    <w:p>
      <w:pPr>
        <w:spacing w:after="120" w:line="360" w:lineRule="auto"/>
        <w:ind w:left="283" w:firstLine="720"/>
        <w:jc w:val="both"/>
      </w:pPr>
      <w:r>
        <w:rPr>
          <w:rFonts w:ascii="Calibri" w:hAnsi="Calibri"/>
          <w:sz w:val="24"/>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pPr>
        <w:spacing w:after="120" w:line="360" w:lineRule="auto"/>
        <w:ind w:left="283" w:firstLine="720"/>
        <w:jc w:val="both"/>
      </w:pPr>
      <w:r>
        <w:rPr>
          <w:rFonts w:ascii="Calibri" w:hAnsi="Calibri"/>
          <w:sz w:val="24"/>
        </w:rPr>
        <w:t>Considerando apenas as metas institucionais, observa-se um aumento de 32% na quantidade de metas estabelecidas, já que passou de 56 metas aprovadas para compor o Planejamento Estratégico do ano 2021 para 74 metas aprovadas para o ano 2024.</w:t>
      </w:r>
    </w:p>
    <w:p>
      <w:pPr>
        <w:spacing w:after="120" w:line="360" w:lineRule="auto"/>
        <w:ind w:left="283" w:firstLine="720"/>
        <w:jc w:val="both"/>
      </w:pPr>
      <w:r>
        <w:rPr>
          <w:rFonts w:ascii="Calibri" w:hAnsi="Calibri"/>
          <w:sz w:val="24"/>
        </w:rPr>
        <w:t>Em relação às metas nacionais, observa-se a redução de 10% no número de metas aprovadas no referido período, passando de 10 metas nacionais em 2021 para 9 em 2024.</w:t>
      </w:r>
    </w:p>
    <w:tbl>
      <w:tblPr>
        <w:tblStyle w:val="TableGrid"/>
        <w:tblW w:type="auto" w:w="0"/>
        <w:jc w:val="left"/>
        <w:tblLook w:firstColumn="1" w:firstRow="1" w:lastColumn="0" w:lastRow="0" w:noHBand="0" w:noVBand="1" w:val="04A0"/>
        <w:tblInd w:w="283" w:type="dxa"/>
      </w:tblPr>
      <w:tblGrid>
        <w:gridCol w:w="1606"/>
        <w:gridCol w:w="1606"/>
        <w:gridCol w:w="1606"/>
        <w:gridCol w:w="1606"/>
        <w:gridCol w:w="1606"/>
        <w:gridCol w:w="1606"/>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Pr>
        <w:spacing w:after="120" w:line="360" w:lineRule="auto"/>
        <w:ind w:left="283" w:firstLine="720"/>
        <w:jc w:val="both"/>
      </w:pPr>
      <w:r>
        <w:rPr>
          <w:rFonts w:ascii="Calibri" w:hAnsi="Calibri"/>
          <w:sz w:val="24"/>
        </w:rPr>
        <w:t xml:space="preserve">No que se refere aos macrodesafios, destaca-se o aumento de </w:t>
      </w:r>
      <w:r>
        <w:rPr>
          <w:rFonts w:ascii="Calibri" w:hAnsi="Calibri"/>
          <w:b/>
          <w:sz w:val="24"/>
        </w:rPr>
        <w:t>64%</w:t>
      </w:r>
      <w:r>
        <w:rPr>
          <w:rFonts w:ascii="Calibri" w:hAnsi="Calibri"/>
          <w:sz w:val="24"/>
        </w:rPr>
        <w:t xml:space="preserve"> no número de metas relacionadas ao macrodesafio 3, que visa promover maior agilidade e produtividade na prestação jurisdicional, entre os anos 2021 e 2024.</w:t>
      </w:r>
    </w:p>
    <w:p>
      <w:pPr>
        <w:spacing w:before="0" w:after="0" w:line="240" w:lineRule="auto"/>
      </w:pPr>
      <w:r>
        <w:br w:type="page"/>
      </w:r>
    </w:p>
    <w:tbl>
      <w:tblPr>
        <w:tblStyle w:val="TableGrid"/>
        <w:tblW w:type="auto" w:w="0"/>
        <w:tblLook w:firstColumn="1" w:firstRow="1" w:lastColumn="0" w:lastRow="0" w:noHBand="0" w:noVBand="1" w:val="04A0"/>
        <w:tblInd w:w="-397" w:type="dxa"/>
      </w:tblPr>
      <w:tblGrid>
        <w:gridCol w:w="1928"/>
        <w:gridCol w:w="1928"/>
        <w:gridCol w:w="1928"/>
        <w:gridCol w:w="1928"/>
        <w:gridCol w:w="1928"/>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Pr>
        <w:spacing w:before="360" w:after="240"/>
        <w:ind w:left="283"/>
      </w:pPr>
      <w:r>
        <w:rPr>
          <w:rFonts w:ascii="Calibri" w:hAnsi="Calibri"/>
          <w:b/>
          <w:color w:val="E36C0A"/>
          <w:sz w:val="28"/>
        </w:rPr>
        <w:t>4. RESULTADOS ALCANÇADOS</w:t>
      </w:r>
    </w:p>
    <w:p>
      <w:pPr>
        <w:spacing w:after="120" w:line="360" w:lineRule="auto"/>
        <w:ind w:left="283" w:firstLine="720"/>
        <w:jc w:val="both"/>
      </w:pPr>
      <w:r>
        <w:rPr>
          <w:rFonts w:ascii="Calibri" w:hAnsi="Calibri"/>
          <w:sz w:val="24"/>
        </w:rPr>
        <w:t xml:space="preserve">Do </w:t>
      </w:r>
      <w:r>
        <w:rPr>
          <w:rFonts w:ascii="Calibri" w:hAnsi="Calibri"/>
          <w:b/>
          <w:sz w:val="24"/>
        </w:rPr>
        <w:t>total de 83 metas nacionais ou institucionais</w:t>
      </w:r>
      <w:r>
        <w:rPr>
          <w:rFonts w:ascii="Calibri" w:hAnsi="Calibri"/>
          <w:sz w:val="24"/>
        </w:rPr>
        <w:t xml:space="preserve"> aprovadas comporem o Planejamento Estratégico em 2024, </w:t>
      </w:r>
      <w:r>
        <w:rPr>
          <w:rFonts w:ascii="Calibri" w:hAnsi="Calibri"/>
          <w:b/>
          <w:sz w:val="24"/>
        </w:rPr>
        <w:t>53% (44 metas) tiveram resultado maior ou igual a 100% e outros 25% do total (21 metas) alcançaram pelo menos 70% do percentual estabelecido para 2024</w:t>
      </w:r>
      <w:r>
        <w:rPr>
          <w:rFonts w:ascii="Calibri" w:hAnsi="Calibri"/>
          <w:sz w:val="24"/>
        </w:rPr>
        <w:t>. Em contrapartida, 18% (15 metas) das metas estabelecidas obtiveram resultado inferior a 70%. Já, as demais, 4% (3 metas) ainda não tiveram dados apurados em 2024.</w:t>
      </w:r>
    </w:p>
    <w:tbl>
      <w:tblPr>
        <w:tblStyle w:val="TableGrid"/>
        <w:tblW w:type="auto" w:w="0"/>
        <w:tblLook w:firstColumn="1" w:firstRow="1" w:lastColumn="0" w:lastRow="0" w:noHBand="0" w:noVBand="1" w:val="04A0"/>
        <w:tblInd w:w="850" w:type="dxa"/>
      </w:tblPr>
      <w:tblGrid>
        <w:gridCol w:w="3213"/>
        <w:gridCol w:w="3213"/>
        <w:gridCol w:w="3213"/>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Pr>
        <w:spacing w:before="0" w:after="0" w:line="240" w:lineRule="auto"/>
      </w:pPr>
      <w:r>
        <w:br w:type="page"/>
      </w:r>
    </w:p>
    <w:p>
      <w:pPr>
        <w:spacing w:before="240" w:after="120"/>
        <w:ind w:left="425"/>
      </w:pPr>
      <w:r>
        <w:rPr>
          <w:rFonts w:ascii="Calibri" w:hAnsi="Calibri"/>
          <w:b/>
          <w:color w:val="E36C0A"/>
          <w:sz w:val="28"/>
        </w:rPr>
        <w:t>4.1 METAS NACIONAIS</w:t>
      </w:r>
    </w:p>
    <w:p>
      <w:pPr>
        <w:spacing w:after="120" w:line="360" w:lineRule="auto"/>
        <w:ind w:left="283" w:firstLine="720"/>
        <w:jc w:val="both"/>
      </w:pPr>
      <w:r>
        <w:rPr>
          <w:rFonts w:ascii="Calibri" w:hAnsi="Calibri"/>
          <w:sz w:val="24"/>
        </w:rPr>
        <w:t>A seguir, são apresentados os resultados obtidos pelo TJMG em 2024 nas metas nacionais do Poder Judiciário.</w:t>
      </w:r>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pacing w:after="120" w:line="360" w:lineRule="auto"/>
        <w:ind w:left="283" w:firstLine="720"/>
        <w:jc w:val="left"/>
      </w:pPr>
      <w:r>
        <w:rPr>
          <w:rFonts w:ascii="Calibri" w:hAnsi="Calibri"/>
          <w:sz w:val="24"/>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pPr>
        <w:spacing w:before="240" w:after="120"/>
        <w:ind w:left="425"/>
      </w:pPr>
      <w:r>
        <w:rPr>
          <w:rFonts w:ascii="Calibri" w:hAnsi="Calibri"/>
          <w:b/>
          <w:color w:val="E36C0A"/>
          <w:sz w:val="28"/>
        </w:rPr>
        <w:t>4.2 METAS INSTITUCIONAIS</w:t>
      </w:r>
    </w:p>
    <w:p>
      <w:pPr>
        <w:spacing w:after="120" w:line="360" w:lineRule="auto"/>
        <w:ind w:left="283" w:firstLine="720"/>
        <w:jc w:val="both"/>
      </w:pPr>
      <w:r>
        <w:rPr>
          <w:rFonts w:ascii="Calibri" w:hAnsi="Calibri"/>
          <w:sz w:val="24"/>
        </w:rPr>
        <w:t>A seguir, os resultados das metas institucionais são apresentados de forma agrupada por superintendência na seguinte ordem: Presidência, 1ª Vice-Presidência, 2ª Vice-Presidência, 3ª Vice-Presidência e Corregedoria – Geral de Justiça.</w:t>
      </w:r>
    </w:p>
    <w:p>
      <w:pPr>
        <w:spacing w:before="360" w:after="240"/>
        <w:ind w:left="283"/>
      </w:pPr>
      <w:r>
        <w:rPr>
          <w:rFonts w:ascii="Calibri" w:hAnsi="Calibri"/>
          <w:b/>
          <w:color w:val="E36C0A"/>
          <w:sz w:val="28"/>
        </w:rPr>
        <w:t>5. MONITORAMENTO DE METAS INSTITUCIONAIS</w:t>
      </w:r>
    </w:p>
    <w:p>
      <w:pPr>
        <w:sectPr>
          <w:headerReference w:type="default" r:id="rId9"/>
          <w:footerReference w:type="default" r:id="rId10"/>
          <w:pgSz w:w="11906" w:h="16838"/>
          <w:pgMar w:top="1417" w:right="1134" w:bottom="1417" w:left="1134"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11"/>
          <w:footerReference w:type="default" r:id="rId12"/>
          <w:pgSz w:w="16838" w:h="11906" w:orient="landscape"/>
          <w:pgMar w:top="1417" w:right="1134" w:bottom="1417" w:left="1134"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3"/>
          <w:footerReference w:type="default" r:id="rId14"/>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5"/>
          <w:footerReference w:type="default" r:id="rId1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17"/>
          <w:footerReference w:type="default" r:id="rId1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sectPr w:rsidR="00FC693F" w:rsidRPr="0006063C" w:rsidSect="00034616">
      <w:headerReference w:type="default" r:id="rId19"/>
      <w:footerReference w:type="default" r:id="rId20"/>
      <w:pgSz w:w="16838" w:h="11906" w:orient="landscape"/>
      <w:pgMar w:top="1417" w:right="1134" w:bottom="1417" w:left="1134"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jc w:val="left"/>
    </w:pPr>
    <w:r>
      <w:rPr>
        <w:rFonts w:ascii="Calibri" w:hAnsi="Calibri"/>
        <w:sz w:val="18"/>
      </w:rPr>
      <w:t>Diretoria Executiva de Planejamento Orçamentário e Qualidade na Gestão Institucional - DEPLAG</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b/>
        <w:sz w:val="22"/>
      </w:rPr>
      <w:t>MONITORAMENTO DE METAS ESTRATÉGICAS - 2024</w:t>
    </w:r>
  </w:p>
  <w:p>
    <w:pPr>
      <w:spacing w:after="120"/>
      <w:jc w:val="center"/>
    </w:pPr>
    <w:r>
      <w:rPr>
        <w:rFonts w:ascii="Calibri" w:hAnsi="Calibri"/>
        <w:b w:val="0"/>
        <w:sz w:val="22"/>
      </w:rPr>
      <w:t>Relatório Técnico ao Comitê de Governança e Gestão Estratégica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