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40"/>
      </w:pPr>
      <w:r>
        <w:rPr>
          <w:rFonts w:ascii="Arial" w:hAnsi="Arial"/>
          <w:b/>
          <w:color w:val="E36C0A"/>
          <w:sz w:val="28"/>
        </w:rPr>
        <w:t>1 INTRODUÇÃO</w:t>
      </w:r>
    </w:p>
    <w:p>
      <w:pPr>
        <w:spacing w:after="120" w:line="360" w:lineRule="auto"/>
        <w:jc w:val="both"/>
      </w:pPr>
      <w:r>
        <w:rPr>
          <w:rFonts w:ascii="Arial" w:hAnsi="Arial"/>
          <w:sz w:val="24"/>
        </w:rPr>
        <w:t>Este relatório apresenta os resultados do monitoramento das metas estratégicas do Tribunal de Justiça do Estado de Minas Gerais (TJMG) para o ano de [VAR_ANO_ATUAL], conforme deliberações do Comitê de Governança e Gestão Estratégica.</w:t>
      </w:r>
    </w:p>
    <w:p>
      <w:pPr>
        <w:spacing w:after="120" w:line="360" w:lineRule="auto"/>
        <w:jc w:val="both"/>
      </w:pPr>
      <w:r>
        <w:rPr>
          <w:rFonts w:ascii="Arial" w:hAnsi="Arial"/>
          <w:sz w:val="24"/>
        </w:rPr>
        <w:t>O documento consolida informações sobre o desempenho institucional, identificando avanços, desafios e oportunidades de melhoria na execução do planejamento estratégico.</w:t>
      </w:r>
    </w:p>
    <w:p>
      <w:pPr>
        <w:spacing w:before="240" w:after="160"/>
      </w:pPr>
      <w:r>
        <w:rPr>
          <w:rFonts w:ascii="Arial" w:hAnsi="Arial"/>
          <w:b/>
          <w:sz w:val="24"/>
        </w:rPr>
        <w:t>1.1 Contextualização</w:t>
      </w:r>
    </w:p>
    <w:p>
      <w:pPr>
        <w:spacing w:after="120" w:line="360" w:lineRule="auto"/>
        <w:jc w:val="both"/>
      </w:pPr>
      <w:r>
        <w:rPr>
          <w:rFonts w:ascii="Arial" w:hAnsi="Arial"/>
          <w:sz w:val="24"/>
        </w:rPr>
        <w:t>O planejamento estratégico do TJMG está alinhado às diretrizes do Conselho Nacional de Justiça (CNJ) e contempla tanto as metas nacionais quanto as metas institucionais específicas, estruturadas em macrodesafios que orientam as ações das diversas unidades administrativas e judiciárias.</w:t>
      </w:r>
    </w:p>
    <w:p>
      <w:pPr>
        <w:spacing w:after="120" w:line="360" w:lineRule="auto"/>
        <w:jc w:val="both"/>
      </w:pPr>
      <w:r>
        <w:rPr>
          <w:rFonts w:ascii="Arial" w:hAnsi="Arial"/>
          <w:sz w:val="24"/>
        </w:rPr>
        <w:t>O processo de monitoramento é realizado periodicamente e tem como objetivo acompanhar o desempenho institucional, fornecendo subsídios para a tomada de decisão pelos gestores e para eventuais ajustes no planejamento.</w:t>
      </w:r>
    </w:p>
    <w:p>
      <w:pPr>
        <w:spacing w:before="240" w:after="160"/>
      </w:pPr>
      <w:r>
        <w:rPr>
          <w:rFonts w:ascii="Arial" w:hAnsi="Arial"/>
          <w:b/>
          <w:sz w:val="24"/>
        </w:rPr>
        <w:t>1.2 Objetivos do Relatório</w:t>
      </w:r>
    </w:p>
    <w:p>
      <w:pPr>
        <w:spacing w:after="120" w:line="360" w:lineRule="auto"/>
        <w:jc w:val="both"/>
      </w:pPr>
      <w:r>
        <w:rPr>
          <w:rFonts w:ascii="Arial" w:hAnsi="Arial"/>
          <w:sz w:val="24"/>
        </w:rPr>
        <w:t>#Os principais objetivos deste documento são:</w:t>
      </w:r>
    </w:p>
    <w:p>
      <w:pPr>
        <w:spacing w:after="60"/>
      </w:pPr>
      <w:r>
        <w:rPr>
          <w:rFonts w:ascii="Arial" w:hAnsi="Arial"/>
          <w:color w:val="0000FF"/>
          <w:sz w:val="22"/>
        </w:rPr>
        <w:t>[INICIAR_LISTA_MARCADORES]</w:t>
      </w:r>
    </w:p>
    <w:p>
      <w:pPr>
        <w:spacing w:after="120" w:line="360" w:lineRule="auto"/>
        <w:jc w:val="both"/>
      </w:pPr>
      <w:r>
        <w:rPr>
          <w:rFonts w:ascii="Arial" w:hAnsi="Arial"/>
          <w:sz w:val="24"/>
        </w:rPr>
        <w:t>Apresentar o panorama geral das metas estratégicas aprovadas</w:t>
      </w:r>
    </w:p>
    <w:p>
      <w:pPr>
        <w:spacing w:after="120" w:line="360" w:lineRule="auto"/>
        <w:jc w:val="both"/>
      </w:pPr>
      <w:r>
        <w:rPr>
          <w:rFonts w:ascii="Arial" w:hAnsi="Arial"/>
          <w:sz w:val="24"/>
        </w:rPr>
        <w:t>Analisar os resultados apurados no período de referência</w:t>
      </w:r>
    </w:p>
    <w:p>
      <w:pPr>
        <w:spacing w:after="120" w:line="360" w:lineRule="auto"/>
        <w:jc w:val="both"/>
      </w:pPr>
      <w:r>
        <w:rPr>
          <w:rFonts w:ascii="Arial" w:hAnsi="Arial"/>
          <w:sz w:val="24"/>
        </w:rPr>
        <w:t>Identificar metas com desempenho satisfatório e aquelas que demandam atenção</w:t>
      </w:r>
    </w:p>
    <w:p>
      <w:pPr>
        <w:spacing w:after="120" w:line="360" w:lineRule="auto"/>
        <w:jc w:val="both"/>
      </w:pPr>
      <w:r>
        <w:rPr>
          <w:rFonts w:ascii="Arial" w:hAnsi="Arial"/>
          <w:sz w:val="24"/>
        </w:rPr>
        <w:t>Fornecer informações consolidadas por superintendência e macrodesafio</w:t>
      </w:r>
    </w:p>
    <w:p>
      <w:pPr>
        <w:spacing w:after="120" w:line="360" w:lineRule="auto"/>
        <w:jc w:val="both"/>
      </w:pPr>
      <w:r>
        <w:rPr>
          <w:rFonts w:ascii="Arial" w:hAnsi="Arial"/>
          <w:sz w:val="24"/>
        </w:rPr>
        <w:t>Subsidiar decisões estratégicas e ajustes no planejamento institucional</w:t>
      </w:r>
    </w:p>
    <w:p>
      <w:pPr>
        <w:spacing w:after="60"/>
      </w:pPr>
      <w:r>
        <w:rPr>
          <w:rFonts w:ascii="Arial" w:hAnsi="Arial"/>
          <w:color w:val="0000FF"/>
          <w:sz w:val="22"/>
        </w:rPr>
        <w:t>[FINALIZAR_LISTA_MARCADORES]</w:t>
      </w:r>
    </w:p>
    <w:p>
      <w:pPr>
        <w:spacing w:before="240" w:after="160"/>
      </w:pPr>
      <w:r>
        <w:rPr>
          <w:rFonts w:ascii="Arial" w:hAnsi="Arial"/>
          <w:b/>
          <w:sz w:val="24"/>
        </w:rPr>
        <w:t>1.3 Período de Referência</w:t>
      </w:r>
    </w:p>
    <w:p>
      <w:pPr>
        <w:spacing w:after="120" w:line="360" w:lineRule="auto"/>
        <w:jc w:val="both"/>
      </w:pPr>
      <w:r>
        <w:rPr>
          <w:rFonts w:ascii="Arial" w:hAnsi="Arial"/>
          <w:sz w:val="24"/>
        </w:rPr>
        <w:t>Os dados apresentados referem-se ao monitoramento realizado no ano de [VAR_ANO_ATUAL], contemplando a apuração dos indicadores estabelecidos para as [NUMERO_METAS_2025] metas estratégicas aprovadas.</w:t>
      </w:r>
    </w:p>
    <w:p>
      <w:r>
        <w:br w:type="page"/>
      </w:r>
    </w:p>
    <w:p>
      <w:pPr>
        <w:spacing w:before="360" w:after="240"/>
      </w:pPr>
      <w:r>
        <w:rPr>
          <w:rFonts w:ascii="Arial" w:hAnsi="Arial"/>
          <w:b/>
          <w:color w:val="E36C0A"/>
          <w:sz w:val="28"/>
        </w:rPr>
        <w:t>2 METAS APROVADAS</w:t>
      </w:r>
    </w:p>
    <w:p>
      <w:pPr>
        <w:spacing w:after="120" w:line="360" w:lineRule="auto"/>
        <w:jc w:val="both"/>
      </w:pPr>
      <w:r>
        <w:rPr>
          <w:rFonts w:ascii="Arial" w:hAnsi="Arial"/>
          <w:sz w:val="24"/>
        </w:rPr>
        <w:t>Esta seção apresenta o quadro geral das metas estratégicas aprovadas pelo TJMG, incluindo a evolução histórica e a distribuição por macrodesafios institucionais.</w:t>
      </w:r>
    </w:p>
    <w:p>
      <w:pPr>
        <w:spacing w:before="240" w:after="160"/>
      </w:pPr>
      <w:r>
        <w:rPr>
          <w:rFonts w:ascii="Arial" w:hAnsi="Arial"/>
          <w:b/>
          <w:sz w:val="24"/>
        </w:rPr>
        <w:t>2.1 Total de Metas Estratégicas</w:t>
      </w:r>
    </w:p>
    <w:p>
      <w:pPr>
        <w:spacing w:after="60"/>
      </w:pPr>
      <w:r>
        <w:rPr>
          <w:rFonts w:ascii="Arial" w:hAnsi="Arial"/>
          <w:color w:val="0000FF"/>
          <w:sz w:val="22"/>
        </w:rPr>
        <w:t>[INSERIR_TABELA_HISTORICA]</w:t>
      </w:r>
    </w:p>
    <w:p>
      <w:pPr>
        <w:spacing w:after="120" w:line="360" w:lineRule="auto"/>
        <w:jc w:val="both"/>
      </w:pPr>
      <w:r>
        <w:rPr>
          <w:rFonts w:ascii="Arial" w:hAnsi="Arial"/>
          <w:sz w:val="24"/>
        </w:rPr>
        <w:t>O quadro acima demonstra a evolução histórica das metas estratégicas aprovadas pelo TJMG nos últimos 4 anos. Observa-se que para o ano de [VAR_ANO_ATUAL] foram aprovadas [NUMERO_METAS_2025] metas estratégicas, sendo [NUMERO_METAS_CNJ] metas nacionais do CNJ e [NUMERO_METAS_TJMG] metas institucionais do TJMG.</w:t>
      </w:r>
    </w:p>
    <w:p>
      <w:pPr>
        <w:spacing w:before="240" w:after="160"/>
      </w:pPr>
      <w:r>
        <w:rPr>
          <w:rFonts w:ascii="Arial" w:hAnsi="Arial"/>
          <w:b/>
          <w:sz w:val="24"/>
        </w:rPr>
        <w:t>2.2 Distribuição por Macrodesafio</w:t>
      </w:r>
    </w:p>
    <w:p>
      <w:pPr>
        <w:spacing w:after="60"/>
      </w:pPr>
      <w:r>
        <w:rPr>
          <w:rFonts w:ascii="Arial" w:hAnsi="Arial"/>
          <w:color w:val="0000FF"/>
          <w:sz w:val="22"/>
        </w:rPr>
        <w:t>[INSERIR_TABELA_MACRODESAFIO]</w:t>
      </w:r>
    </w:p>
    <w:p>
      <w:pPr>
        <w:spacing w:after="120" w:line="360" w:lineRule="auto"/>
        <w:jc w:val="both"/>
      </w:pPr>
      <w:r>
        <w:rPr>
          <w:rFonts w:ascii="Arial" w:hAnsi="Arial"/>
          <w:sz w:val="24"/>
        </w:rPr>
        <w:t>A distribuição das metas por macrodesafio reflete as prioridades estratégicas estabelecidas pela instituição, contemplando [NUMERO_MACRODESAFIOS] eixos temáticos que orientam as ações institucionais.</w:t>
      </w:r>
    </w:p>
    <w:p>
      <w:pPr>
        <w:spacing w:before="240" w:after="160"/>
      </w:pPr>
      <w:r>
        <w:rPr>
          <w:rFonts w:ascii="Arial" w:hAnsi="Arial"/>
          <w:b/>
          <w:sz w:val="24"/>
        </w:rPr>
        <w:t>2.3 Evolução Histórica</w:t>
      </w:r>
    </w:p>
    <w:p>
      <w:pPr>
        <w:spacing w:after="120" w:line="360" w:lineRule="auto"/>
        <w:jc w:val="both"/>
      </w:pPr>
      <w:r>
        <w:rPr>
          <w:rFonts w:ascii="Arial" w:hAnsi="Arial"/>
          <w:sz w:val="24"/>
        </w:rPr>
        <w:t>A análise da evolução histórica demonstra o crescimento e amadurecimento do processo de planejamento estratégico do TJMG, com ampliação gradual do escopo de metas monitoradas e aperfeiçoamento dos mecanismos de acompanhamento.</w:t>
      </w:r>
    </w:p>
    <w:p>
      <w:r>
        <w:br w:type="page"/>
      </w:r>
    </w:p>
    <w:p>
      <w:pPr>
        <w:spacing w:before="360" w:after="240"/>
      </w:pPr>
      <w:r>
        <w:rPr>
          <w:rFonts w:ascii="Arial" w:hAnsi="Arial"/>
          <w:b/>
          <w:color w:val="E36C0A"/>
          <w:sz w:val="28"/>
        </w:rPr>
        <w:t>3 RESULTADO DO MONITORAMENTO</w:t>
      </w:r>
    </w:p>
    <w:p>
      <w:pPr>
        <w:spacing w:after="120" w:line="360" w:lineRule="auto"/>
        <w:jc w:val="both"/>
      </w:pPr>
      <w:r>
        <w:rPr>
          <w:rFonts w:ascii="Arial" w:hAnsi="Arial"/>
          <w:sz w:val="24"/>
        </w:rPr>
        <w:t>A seguir são apresentados os resultados consolidados do monitoramento realizado no período de referência, com análise dos indicadores de cumprimento e distribuição por faixas de desempenho.</w:t>
      </w:r>
    </w:p>
    <w:p>
      <w:pPr>
        <w:spacing w:before="240" w:after="160"/>
      </w:pPr>
      <w:r>
        <w:rPr>
          <w:rFonts w:ascii="Arial" w:hAnsi="Arial"/>
          <w:b/>
          <w:sz w:val="24"/>
        </w:rPr>
        <w:t>3.1 Indicadores de Cumprimento</w:t>
      </w:r>
    </w:p>
    <w:p>
      <w:pPr>
        <w:spacing w:after="60"/>
      </w:pPr>
      <w:r>
        <w:rPr>
          <w:rFonts w:ascii="Arial" w:hAnsi="Arial"/>
          <w:color w:val="0000FF"/>
          <w:sz w:val="22"/>
        </w:rPr>
        <w:t>[INSERIR_TABELA_MONITORAMENTO]</w:t>
      </w:r>
    </w:p>
    <w:p>
      <w:pPr>
        <w:spacing w:after="120" w:line="360" w:lineRule="auto"/>
        <w:jc w:val="both"/>
      </w:pPr>
      <w:r>
        <w:rPr>
          <w:rFonts w:ascii="Arial" w:hAnsi="Arial"/>
          <w:sz w:val="24"/>
        </w:rPr>
        <w:t>A tabela acima consolida os resultados do monitoramento, classificando as metas em faixas de desempenho de acordo com os percentuais de cumprimento apurados.</w:t>
      </w:r>
    </w:p>
    <w:p>
      <w:pPr>
        <w:spacing w:before="240" w:after="160"/>
      </w:pPr>
      <w:r>
        <w:rPr>
          <w:rFonts w:ascii="Arial" w:hAnsi="Arial"/>
          <w:b/>
          <w:sz w:val="24"/>
        </w:rPr>
        <w:t>3.2 Análise por Faixa de Desempenho</w:t>
      </w:r>
    </w:p>
    <w:p>
      <w:pPr>
        <w:spacing w:after="120" w:line="360" w:lineRule="auto"/>
        <w:jc w:val="both"/>
      </w:pPr>
      <w:r>
        <w:rPr>
          <w:rFonts w:ascii="Arial" w:hAnsi="Arial"/>
          <w:sz w:val="24"/>
        </w:rPr>
        <w:t>#Destaque Positivo: [PERCENTUAL_VERDE]% das metas atingiram resultado satisfatório, situando-se na faixa verde (cumprimento igual ou superior a 90%).</w:t>
      </w:r>
    </w:p>
    <w:p>
      <w:pPr>
        <w:spacing w:after="120" w:line="360" w:lineRule="auto"/>
        <w:jc w:val="both"/>
      </w:pPr>
      <w:r>
        <w:rPr>
          <w:rFonts w:ascii="Arial" w:hAnsi="Arial"/>
          <w:sz w:val="24"/>
        </w:rPr>
        <w:t>As metas classificadas nas faixas amarela e vermelha demandam atenção especial e podem requerer ajustes nas estratégias de implementação ou revisão dos indicadores estabelecidos.</w:t>
      </w:r>
    </w:p>
    <w:p>
      <w:pPr>
        <w:spacing w:before="240" w:after="160"/>
      </w:pPr>
      <w:r>
        <w:rPr>
          <w:rFonts w:ascii="Arial" w:hAnsi="Arial"/>
          <w:b/>
          <w:sz w:val="24"/>
        </w:rPr>
        <w:t>3.3 Destaques do Período</w:t>
      </w:r>
    </w:p>
    <w:p>
      <w:pPr>
        <w:spacing w:after="120" w:line="360" w:lineRule="auto"/>
        <w:jc w:val="both"/>
      </w:pPr>
      <w:r>
        <w:rPr>
          <w:rFonts w:ascii="Arial" w:hAnsi="Arial"/>
          <w:sz w:val="24"/>
        </w:rPr>
        <w:t>Entre os principais destaques do período, identificam-se iniciativas que contribuíram significativamente para o alcance dos resultados, incluindo:</w:t>
      </w:r>
    </w:p>
    <w:p>
      <w:pPr>
        <w:spacing w:after="60"/>
      </w:pPr>
      <w:r>
        <w:rPr>
          <w:rFonts w:ascii="Arial" w:hAnsi="Arial"/>
          <w:color w:val="0000FF"/>
          <w:sz w:val="22"/>
        </w:rPr>
        <w:t>[INICIAR_LISTA_NUMERADA]</w:t>
      </w:r>
    </w:p>
    <w:p>
      <w:pPr>
        <w:spacing w:after="120" w:line="360" w:lineRule="auto"/>
        <w:jc w:val="both"/>
      </w:pPr>
      <w:r>
        <w:rPr>
          <w:rFonts w:ascii="Arial" w:hAnsi="Arial"/>
          <w:sz w:val="24"/>
        </w:rPr>
        <w:t>Implementação de novas ferramentas tecnológicas de apoio à gestão</w:t>
      </w:r>
    </w:p>
    <w:p>
      <w:pPr>
        <w:spacing w:after="120" w:line="360" w:lineRule="auto"/>
        <w:jc w:val="both"/>
      </w:pPr>
      <w:r>
        <w:rPr>
          <w:rFonts w:ascii="Arial" w:hAnsi="Arial"/>
          <w:sz w:val="24"/>
        </w:rPr>
        <w:t>Capacitação de equipes para execução das ações estratégicas</w:t>
      </w:r>
    </w:p>
    <w:p>
      <w:pPr>
        <w:spacing w:after="120" w:line="360" w:lineRule="auto"/>
        <w:jc w:val="both"/>
      </w:pPr>
      <w:r>
        <w:rPr>
          <w:rFonts w:ascii="Arial" w:hAnsi="Arial"/>
          <w:sz w:val="24"/>
        </w:rPr>
        <w:t>Aprimoramento dos processos de monitoramento e controle</w:t>
      </w:r>
    </w:p>
    <w:p>
      <w:pPr>
        <w:spacing w:after="120" w:line="360" w:lineRule="auto"/>
        <w:jc w:val="both"/>
      </w:pPr>
      <w:r>
        <w:rPr>
          <w:rFonts w:ascii="Arial" w:hAnsi="Arial"/>
          <w:sz w:val="24"/>
        </w:rPr>
        <w:t>Integração entre as diversas superintendências e unidades</w:t>
      </w:r>
    </w:p>
    <w:p>
      <w:pPr>
        <w:spacing w:after="60"/>
      </w:pPr>
      <w:r>
        <w:rPr>
          <w:rFonts w:ascii="Arial" w:hAnsi="Arial"/>
          <w:color w:val="0000FF"/>
          <w:sz w:val="22"/>
        </w:rPr>
        <w:t>[FINALIZAR_LISTA_NUMERADA]</w:t>
      </w:r>
    </w:p>
    <w:p>
      <w:r>
        <w:br w:type="page"/>
      </w:r>
    </w:p>
    <w:p>
      <w:pPr>
        <w:spacing w:before="360" w:after="240"/>
      </w:pPr>
      <w:r>
        <w:rPr>
          <w:rFonts w:ascii="Arial" w:hAnsi="Arial"/>
          <w:b/>
          <w:color w:val="E36C0A"/>
          <w:sz w:val="28"/>
        </w:rPr>
        <w:t>4 METAS NACIONAIS DO CNJ</w:t>
      </w:r>
    </w:p>
    <w:p>
      <w:pPr>
        <w:spacing w:after="120" w:line="360" w:lineRule="auto"/>
        <w:jc w:val="both"/>
      </w:pPr>
      <w:r>
        <w:rPr>
          <w:rFonts w:ascii="Arial" w:hAnsi="Arial"/>
          <w:sz w:val="24"/>
        </w:rPr>
        <w:t>As metas nacionais estabelecidas pelo Conselho Nacional de Justiça (CNJ) representam compromissos do Poder Judiciário brasileiro com a sociedade, focando em temas prioritários como celeridade processual, efetividade da execução e acesso à justiça.</w:t>
      </w:r>
    </w:p>
    <w:p>
      <w:pPr>
        <w:spacing w:before="240" w:after="160"/>
      </w:pPr>
      <w:r>
        <w:rPr>
          <w:rFonts w:ascii="Arial" w:hAnsi="Arial"/>
          <w:b/>
          <w:sz w:val="24"/>
        </w:rPr>
        <w:t>4.1 Visão Geral</w:t>
      </w:r>
    </w:p>
    <w:p>
      <w:pPr>
        <w:spacing w:after="60"/>
      </w:pPr>
      <w:r>
        <w:rPr>
          <w:rFonts w:ascii="Arial" w:hAnsi="Arial"/>
          <w:color w:val="0000FF"/>
          <w:sz w:val="22"/>
        </w:rPr>
        <w:t>[INSERIR_TABELA_CNJ]</w:t>
      </w:r>
    </w:p>
    <w:p>
      <w:pPr>
        <w:spacing w:after="120" w:line="360" w:lineRule="auto"/>
        <w:jc w:val="both"/>
      </w:pPr>
      <w:r>
        <w:rPr>
          <w:rFonts w:ascii="Arial" w:hAnsi="Arial"/>
          <w:sz w:val="24"/>
        </w:rPr>
        <w:t>O TJMG acompanha sistematicamente o cumprimento das [NUMERO_METAS_CNJ] metas nacionais estabelecidas pelo CNJ, buscando o alinhamento entre as estratégias institucionais e as diretrizes nacionais.</w:t>
      </w:r>
    </w:p>
    <w:p>
      <w:pPr>
        <w:spacing w:before="240" w:after="160"/>
      </w:pPr>
      <w:r>
        <w:rPr>
          <w:rFonts w:ascii="Arial" w:hAnsi="Arial"/>
          <w:b/>
          <w:sz w:val="24"/>
        </w:rPr>
        <w:t>4.2 Detalhamento por Meta</w:t>
      </w:r>
    </w:p>
    <w:p>
      <w:pPr>
        <w:spacing w:after="120" w:line="360" w:lineRule="auto"/>
        <w:jc w:val="both"/>
      </w:pPr>
      <w:r>
        <w:rPr>
          <w:rFonts w:ascii="Arial" w:hAnsi="Arial"/>
          <w:sz w:val="24"/>
        </w:rPr>
        <w:t>Cada meta nacional do CNJ possui indicadores específicos e alvos estabelecidos, sendo monitorada mensalmente para garantir o acompanhamento tempestivo dos resultados e a possibilidade de intervenções corretivas quando necessário.</w:t>
      </w:r>
    </w:p>
    <w:p>
      <w:pPr>
        <w:spacing w:before="240" w:after="160"/>
      </w:pPr>
      <w:r>
        <w:rPr>
          <w:rFonts w:ascii="Arial" w:hAnsi="Arial"/>
          <w:b/>
          <w:sz w:val="24"/>
        </w:rPr>
        <w:t>4.3 Alinhamento Institucional</w:t>
      </w:r>
    </w:p>
    <w:p>
      <w:pPr>
        <w:spacing w:after="120" w:line="360" w:lineRule="auto"/>
        <w:jc w:val="both"/>
      </w:pPr>
      <w:r>
        <w:rPr>
          <w:rFonts w:ascii="Arial" w:hAnsi="Arial"/>
          <w:sz w:val="24"/>
        </w:rPr>
        <w:t>O TJMG promove o alinhamento entre as metas nacionais do CNJ e as metas institucionais, garantindo coerência estratégica e otimização dos recursos disponíveis para alcance dos objetivos estabelecidos.</w:t>
      </w:r>
    </w:p>
    <w:p>
      <w:r>
        <w:br w:type="page"/>
      </w:r>
    </w:p>
    <w:p>
      <w:pPr>
        <w:spacing w:before="360" w:after="240"/>
      </w:pPr>
      <w:r>
        <w:rPr>
          <w:rFonts w:ascii="Arial" w:hAnsi="Arial"/>
          <w:b/>
          <w:color w:val="E36C0A"/>
          <w:sz w:val="28"/>
        </w:rPr>
        <w:t>5 SUPERINTENDÊNCIAS</w:t>
      </w:r>
    </w:p>
    <w:p>
      <w:pPr>
        <w:spacing w:after="120" w:line="360" w:lineRule="auto"/>
        <w:jc w:val="both"/>
      </w:pPr>
      <w:r>
        <w:rPr>
          <w:rFonts w:ascii="Arial" w:hAnsi="Arial"/>
          <w:sz w:val="24"/>
        </w:rPr>
        <w:t>A partir desta seção são apresentados os resultados detalhados por superintendência e macrodesafio, permitindo uma análise mais aprofundada do desempenho de cada área responsável.</w:t>
      </w:r>
    </w:p>
    <w:p>
      <w:pPr>
        <w:spacing w:after="120" w:line="360" w:lineRule="auto"/>
        <w:jc w:val="both"/>
      </w:pPr>
      <w:r>
        <w:rPr>
          <w:rFonts w:ascii="Arial" w:hAnsi="Arial"/>
          <w:sz w:val="24"/>
        </w:rPr>
        <w:t>As tabelas a seguir apresentam informações pormenorizadas sobre cada indicador, incluindo resultados apurados, polaridade, unidades responsáveis e iniciativas relacionadas.</w:t>
      </w:r>
    </w:p>
    <w:p>
      <w:pPr>
        <w:spacing w:after="60"/>
      </w:pPr>
      <w:r>
        <w:rPr>
          <w:rFonts w:ascii="Arial" w:hAnsi="Arial"/>
          <w:color w:val="0000FF"/>
          <w:sz w:val="22"/>
        </w:rPr>
        <w:t>[INICIAR_SECAO_SUPERINTENDENCIAS]</w:t>
      </w:r>
    </w:p>
    <w:p>
      <w:pPr>
        <w:spacing w:after="120" w:line="360" w:lineRule="auto"/>
        <w:jc w:val="both"/>
      </w:pPr>
      <w:r>
        <w:rPr>
          <w:rFonts w:ascii="Arial" w:hAnsi="Arial"/>
          <w:sz w:val="24"/>
        </w:rPr>
        <w:t>Nota: As seções detalhadas de cada superintendência são geradas automaticamente a partir dos dados extraídos, incluindo tabelas em formato paisagem com todas as informações dos indicadores monitorados.</w:t>
      </w:r>
    </w:p>
    <w:p>
      <w:r>
        <w:br w:type="page"/>
      </w:r>
    </w:p>
    <w:p>
      <w:pPr>
        <w:spacing w:before="360" w:after="240"/>
      </w:pPr>
      <w:r>
        <w:rPr>
          <w:rFonts w:ascii="Arial" w:hAnsi="Arial"/>
          <w:b/>
          <w:color w:val="E36C0A"/>
          <w:sz w:val="28"/>
        </w:rPr>
        <w:t>6 CONSIDERAÇÕES FINAIS</w:t>
      </w:r>
    </w:p>
    <w:p>
      <w:pPr>
        <w:spacing w:after="120" w:line="360" w:lineRule="auto"/>
        <w:jc w:val="both"/>
      </w:pPr>
      <w:r>
        <w:rPr>
          <w:rFonts w:ascii="Arial" w:hAnsi="Arial"/>
          <w:sz w:val="24"/>
        </w:rPr>
        <w:t>Este relatório consolida os resultados do monitoramento estratégico do TJMG, demonstrando o comprometimento institucional com a gestão por resultados e a melhoria contínua dos serviços prestados à sociedade.</w:t>
      </w:r>
    </w:p>
    <w:p>
      <w:pPr>
        <w:spacing w:before="240" w:after="160"/>
      </w:pPr>
      <w:r>
        <w:rPr>
          <w:rFonts w:ascii="Arial" w:hAnsi="Arial"/>
          <w:b/>
          <w:sz w:val="24"/>
        </w:rPr>
        <w:t>6.1 Síntese dos Resultados</w:t>
      </w:r>
    </w:p>
    <w:p>
      <w:pPr>
        <w:spacing w:after="120" w:line="360" w:lineRule="auto"/>
        <w:jc w:val="both"/>
      </w:pPr>
      <w:r>
        <w:rPr>
          <w:rFonts w:ascii="Arial" w:hAnsi="Arial"/>
          <w:sz w:val="24"/>
        </w:rPr>
        <w:t>O período analisado demonstra avanços significativos no cumprimento das metas estratégicas, com [PERCENTUAL_VERDE]% das metas atingindo resultados satisfatórios. Este desempenho reflete o esforço conjunto de todas as unidades e o engajamento dos colaboradores na execução do planejamento estratégico.</w:t>
      </w:r>
    </w:p>
    <w:p>
      <w:pPr>
        <w:spacing w:before="240" w:after="160"/>
      </w:pPr>
      <w:r>
        <w:rPr>
          <w:rFonts w:ascii="Arial" w:hAnsi="Arial"/>
          <w:b/>
          <w:sz w:val="24"/>
        </w:rPr>
        <w:t>6.2 Oportunidades de Melhoria</w:t>
      </w:r>
    </w:p>
    <w:p>
      <w:pPr>
        <w:spacing w:after="120" w:line="360" w:lineRule="auto"/>
        <w:jc w:val="both"/>
      </w:pPr>
      <w:r>
        <w:rPr>
          <w:rFonts w:ascii="Arial" w:hAnsi="Arial"/>
          <w:sz w:val="24"/>
        </w:rPr>
        <w:t>Identificam-se oportunidades de melhoria relacionadas às metas que não alcançaram os resultados esperados, demandando análise criteriosa das causas e implementação de ações corretivas específicas.</w:t>
      </w:r>
    </w:p>
    <w:p>
      <w:pPr>
        <w:spacing w:after="120" w:line="360" w:lineRule="auto"/>
        <w:jc w:val="both"/>
      </w:pPr>
      <w:r>
        <w:rPr>
          <w:rFonts w:ascii="Arial" w:hAnsi="Arial"/>
          <w:sz w:val="24"/>
        </w:rPr>
        <w:t>O aprimoramento contínuo dos processos de planejamento, execução e monitoramento constitui elemento fundamental para o alcance dos objetivos institucionais.</w:t>
      </w:r>
    </w:p>
    <w:p>
      <w:pPr>
        <w:spacing w:before="240" w:after="160"/>
      </w:pPr>
      <w:r>
        <w:rPr>
          <w:rFonts w:ascii="Arial" w:hAnsi="Arial"/>
          <w:b/>
          <w:sz w:val="24"/>
        </w:rPr>
        <w:t>6.3 Próximos Passos</w:t>
      </w:r>
    </w:p>
    <w:p>
      <w:pPr>
        <w:spacing w:after="120" w:line="360" w:lineRule="auto"/>
        <w:jc w:val="both"/>
      </w:pPr>
      <w:r>
        <w:rPr>
          <w:rFonts w:ascii="Arial" w:hAnsi="Arial"/>
          <w:sz w:val="24"/>
        </w:rPr>
        <w:t>#As principais ações previstas para o próximo período incluem:</w:t>
      </w:r>
    </w:p>
    <w:p>
      <w:pPr>
        <w:spacing w:after="60"/>
      </w:pPr>
      <w:r>
        <w:rPr>
          <w:rFonts w:ascii="Arial" w:hAnsi="Arial"/>
          <w:color w:val="0000FF"/>
          <w:sz w:val="22"/>
        </w:rPr>
        <w:t>[INICIAR_LISTA_MARCADORES]</w:t>
      </w:r>
    </w:p>
    <w:p>
      <w:pPr>
        <w:spacing w:after="120" w:line="360" w:lineRule="auto"/>
        <w:jc w:val="both"/>
      </w:pPr>
      <w:r>
        <w:rPr>
          <w:rFonts w:ascii="Arial" w:hAnsi="Arial"/>
          <w:sz w:val="24"/>
        </w:rPr>
        <w:t>Revisão das estratégias para metas com desempenho insatisfatório</w:t>
      </w:r>
    </w:p>
    <w:p>
      <w:pPr>
        <w:spacing w:after="120" w:line="360" w:lineRule="auto"/>
        <w:jc w:val="both"/>
      </w:pPr>
      <w:r>
        <w:rPr>
          <w:rFonts w:ascii="Arial" w:hAnsi="Arial"/>
          <w:sz w:val="24"/>
        </w:rPr>
        <w:t>Intensificação do acompanhamento mensal dos indicadores críticos</w:t>
      </w:r>
    </w:p>
    <w:p>
      <w:pPr>
        <w:spacing w:after="120" w:line="360" w:lineRule="auto"/>
        <w:jc w:val="both"/>
      </w:pPr>
      <w:r>
        <w:rPr>
          <w:rFonts w:ascii="Arial" w:hAnsi="Arial"/>
          <w:sz w:val="24"/>
        </w:rPr>
        <w:t>Capacitação continuada das equipes responsáveis</w:t>
      </w:r>
    </w:p>
    <w:p>
      <w:pPr>
        <w:spacing w:after="120" w:line="360" w:lineRule="auto"/>
        <w:jc w:val="both"/>
      </w:pPr>
      <w:r>
        <w:rPr>
          <w:rFonts w:ascii="Arial" w:hAnsi="Arial"/>
          <w:sz w:val="24"/>
        </w:rPr>
        <w:t>Fortalecimento da governança e comunicação estratégica</w:t>
      </w:r>
    </w:p>
    <w:p>
      <w:pPr>
        <w:spacing w:after="120" w:line="360" w:lineRule="auto"/>
        <w:jc w:val="both"/>
      </w:pPr>
      <w:r>
        <w:rPr>
          <w:rFonts w:ascii="Arial" w:hAnsi="Arial"/>
          <w:sz w:val="24"/>
        </w:rPr>
        <w:t>Avaliação de viabilidade de ajustes no planejamento quando necessário</w:t>
      </w:r>
    </w:p>
    <w:p>
      <w:pPr>
        <w:spacing w:after="60"/>
      </w:pPr>
      <w:r>
        <w:rPr>
          <w:rFonts w:ascii="Arial" w:hAnsi="Arial"/>
          <w:color w:val="0000FF"/>
          <w:sz w:val="22"/>
        </w:rPr>
        <w:t>[FINALIZAR_LISTA_MARCADORES]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