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1606"/>
        <w:gridCol w:w="1606"/>
        <w:gridCol w:w="1606"/>
        <w:gridCol w:w="1606"/>
        <w:gridCol w:w="1606"/>
        <w:gridCol w:w="1606"/>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
    <w:tbl>
      <w:tblPr>
        <w:tblStyle w:val="TableGrid"/>
        <w:tblW w:type="auto" w:w="0"/>
        <w:tblLook w:firstColumn="1" w:firstRow="1" w:lastColumn="0" w:lastRow="0" w:noHBand="0" w:noVBand="1" w:val="04A0"/>
        <w:tblInd w:w="-397" w:type="dxa"/>
      </w:tblPr>
      <w:tblGrid>
        <w:gridCol w:w="1928"/>
        <w:gridCol w:w="1928"/>
        <w:gridCol w:w="1928"/>
        <w:gridCol w:w="1928"/>
        <w:gridCol w:w="1928"/>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
    <w:tbl>
      <w:tblPr>
        <w:tblStyle w:val="TableGrid"/>
        <w:tblW w:type="auto" w:w="0"/>
        <w:tblLook w:firstColumn="1" w:firstRow="1" w:lastColumn="0" w:lastRow="0" w:noHBand="0" w:noVBand="1" w:val="04A0"/>
        <w:tblInd w:w="850" w:type="dxa"/>
      </w:tblPr>
      <w:tblGrid>
        <w:gridCol w:w="3213"/>
        <w:gridCol w:w="3213"/>
        <w:gridCol w:w="3213"/>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ectPr>
          <w:headerReference w:type="default" r:id="rId9"/>
          <w:pgSz w:w="11906" w:h="16838"/>
          <w:pgMar w:top="1417" w:right="1134" w:bottom="1417" w:left="1134" w:header="850" w:footer="850"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COMSIV</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3.474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106.177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51.638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NUGIN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92,13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DENGEP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ASPREC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0"/>
          <w:footerReference w:type="default" r:id="rId11"/>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94,6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71,71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90,5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DIRSUP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2"/>
          <w:footerReference w:type="default" r:id="rId13"/>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2ª Vice 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4"/>
          <w:footerReference w:type="default" r:id="rId15"/>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1.935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-36,54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6"/>
          <w:footerReference w:type="default" r:id="rId17"/>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40,02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65,64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p>
      <w:pPr>
        <w:sectPr>
          <w:headerReference w:type="default" r:id="rId18"/>
          <w:footerReference w:type="default" r:id="rId19"/>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3.31</w:t>
            </w:r>
            <w:r>
              <w:rPr>
                <w:rFonts w:ascii="Calibri" w:hAnsi="Calibri"/>
                <w:sz w:val="18"/>
              </w:rPr>
              <w:t xml:space="preserve"> - Taxa de execução do plano de Integração do Sistema PJe com o e-Carta Correios.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79</w:t>
            </w:r>
            <w:r>
              <w:rPr>
                <w:rFonts w:ascii="Calibri" w:hAnsi="Calibri"/>
                <w:sz w:val="18"/>
              </w:rPr>
              <w:t xml:space="preserve"> - Executar, até 2025, 100% (cem por cento) das atividades previstas no plano de Integração do Sistema PJe com o e-Carta Correios.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45,5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2024, foi implantado o piloto da integração do Sistema Judicial Eletrônico - PJe com o e-Carta Correios na Comarca de Arinos, com expectativa de expansão as demais comarcas do Estado dentro do mesmo ano. Entretanto, embora os fluxos de envio e o retorno de informações dos Correios estivessem funcionando corretamente, verificou-se a necessidade de corrigir questões técnicas que inviabilizavam a expansão do projeto, sendo elas: a implementação do QRCode no PJE para viabilizar a contrafé eletrônica e também a implementação da contagem de prazos de forma automática pelo sistema, melhor detalhadas no monitoramento da iniciativa estratégica. Com vistas à resolução da questão, a Diretoria Executiva de Tecnologia da Informação e Comunicação – DIRTEC foi acionada e apresentou o prazo de 30 de setembro para análise e providências das questões identificadas. Diante disso, em junho de 2025, as áreas técnicas envolvidas no projeto se reuniram para discutir a viabilidade de manutenção da iniciativa considerando fatores como: a atual diretriz institucional voltada à implantação e expansão do sistema eproc, atualmente em curso neste Tribunal; o fato de o sistema eproc já possuir integração plena com o E-carta; a rápida expansão do eproc, que, a partir de setembro, será estendida para mais 39 comarcas, com previsão de conclusão da implantação em todas as varas cíveis e JESP até maio do próximo ano, e; a liberação do migrador para transportar processos do PJe para o eproc, previsto para agosto de 2025, prazo anterior ao apresentado pela DIRTEC para a correção dos problemas. Pelo exposto, deliberou-se pelo encerramento das demandas de adequação junto à DIRTEC, bem como da expansão do projeto para as comarcas do Estado, resultando no consequente encerramento desta iniciativa, conforme a Decisão 18610 do processo SEI 0936530-72.2022.8.13.0000. Até o encerramento do projeto, 45,5% das atividades previstas no Plano de Integração do Sistema PJe com o e-Carta Correios, foram concluídas, de forma que a meta estabelecida para o ano de 2025 (100%) não foi alcançada.</w:t>
            </w:r>
          </w:p>
        </w:tc>
      </w:tr>
    </w:tbl>
    <w:sectPr w:rsidR="00FC693F" w:rsidRPr="0006063C" w:rsidSect="00034616">
      <w:headerReference w:type="default" r:id="rId20"/>
      <w:footerReference w:type="default" r:id="rId21"/>
      <w:pgSz w:w="16838" w:h="11906" w:orient="landscape"/>
      <w:pgMar w:top="1417" w:right="850"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120"/>
      <w:jc w:val="center"/>
    </w:pPr>
    <w:r>
      <w:rPr>
        <w:rFonts w:ascii="Calibri" w:hAnsi="Calibri"/>
        <w:b/>
        <w:sz w:val="28"/>
      </w:rPr>
      <w:t>Resultados do Monitoramento de Metas Estratégicas 2025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SEM CLASSIFICAÇÃO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header" Target="header5.xml"/><Relationship Id="rId17" Type="http://schemas.openxmlformats.org/officeDocument/2006/relationships/footer" Target="footer4.xm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header" Target="header7.xml"/><Relationship Id="rId21"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