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1606"/>
        <w:gridCol w:w="1606"/>
        <w:gridCol w:w="1606"/>
        <w:gridCol w:w="1606"/>
        <w:gridCol w:w="1606"/>
        <w:gridCol w:w="1606"/>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
    <w:tbl>
      <w:tblPr>
        <w:tblStyle w:val="TableGrid"/>
        <w:tblW w:type="auto" w:w="0"/>
        <w:tblLook w:firstColumn="1" w:firstRow="1" w:lastColumn="0" w:lastRow="0" w:noHBand="0" w:noVBand="1" w:val="04A0"/>
        <w:tblInd w:w="-397" w:type="dxa"/>
      </w:tblPr>
      <w:tblGrid>
        <w:gridCol w:w="1928"/>
        <w:gridCol w:w="1928"/>
        <w:gridCol w:w="1928"/>
        <w:gridCol w:w="1928"/>
        <w:gridCol w:w="1928"/>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
    <w:tbl>
      <w:tblPr>
        <w:tblStyle w:val="TableGrid"/>
        <w:tblW w:type="auto" w:w="0"/>
        <w:tblLook w:firstColumn="1" w:firstRow="1" w:lastColumn="0" w:lastRow="0" w:noHBand="0" w:noVBand="1" w:val="04A0"/>
        <w:tblInd w:w="850" w:type="dxa"/>
      </w:tblPr>
      <w:tblGrid>
        <w:gridCol w:w="3213"/>
        <w:gridCol w:w="3213"/>
        <w:gridCol w:w="3213"/>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ectPr>
          <w:headerReference w:type="default" r:id="rId9"/>
          <w:footerReference w:type="default" r:id="rId10"/>
          <w:pgSz w:w="11906" w:h="16838"/>
          <w:pgMar w:top="1417" w:right="1134" w:bottom="1417" w:left="1134" w:header="283" w:footer="283"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COMSIV</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3.474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106.177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51.638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NUGIN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92,13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DENGEP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ASPREC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1"/>
          <w:footerReference w:type="default" r:id="rId12"/>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94,6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71,71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90,5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DIRSUP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3"/>
          <w:footerReference w:type="default" r:id="rId14"/>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2ª Vice 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5"/>
          <w:footerReference w:type="default" r:id="rId16"/>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1.935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-36,54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7"/>
          <w:footerReference w:type="default" r:id="rId18"/>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40,02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65,64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p>
      <w:pPr>
        <w:sectPr>
          <w:headerReference w:type="default" r:id="rId19"/>
          <w:footerReference w:type="default" r:id="rId20"/>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3.31</w:t>
            </w:r>
            <w:r>
              <w:rPr>
                <w:rFonts w:ascii="Calibri" w:hAnsi="Calibri"/>
                <w:sz w:val="18"/>
              </w:rPr>
              <w:t xml:space="preserve"> - Taxa de execução do plano de Integração do Sistema PJe com o e-Carta Correios.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79</w:t>
            </w:r>
            <w:r>
              <w:rPr>
                <w:rFonts w:ascii="Calibri" w:hAnsi="Calibri"/>
                <w:sz w:val="18"/>
              </w:rPr>
              <w:t xml:space="preserve"> - Executar, até 2025, 100% (cem por cento) das atividades previstas no plano de Integração do Sistema PJe com o e-Carta Correios.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45,5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2024, foi implantado o piloto da integração do Sistema Judicial Eletrônico - PJe com o e-Carta Correios na Comarca de Arinos, com expectativa de expansão as demais comarcas do Estado dentro do mesmo ano. Entretanto, embora os fluxos de envio e o retorno de informações dos Correios estivessem funcionando corretamente, verificou-se a necessidade de corrigir questões técnicas que inviabilizavam a expansão do projeto, sendo elas: a implementação do QRCode no PJE para viabilizar a contrafé eletrônica e também a implementação da contagem de prazos de forma automática pelo sistema, melhor detalhadas no monitoramento da iniciativa estratégica. Com vistas à resolução da questão, a Diretoria Executiva de Tecnologia da Informação e Comunicação – DIRTEC foi acionada e apresentou o prazo de 30 de setembro para análise e providências das questões identificadas. Diante disso, em junho de 2025, as áreas técnicas envolvidas no projeto se reuniram para discutir a viabilidade de manutenção da iniciativa considerando fatores como: a atual diretriz institucional voltada à implantação e expansão do sistema eproc, atualmente em curso neste Tribunal; o fato de o sistema eproc já possuir integração plena com o E-carta; a rápida expansão do eproc, que, a partir de setembro, será estendida para mais 39 comarcas, com previsão de conclusão da implantação em todas as varas cíveis e JESP até maio do próximo ano, e; a liberação do migrador para transportar processos do PJe para o eproc, previsto para agosto de 2025, prazo anterior ao apresentado pela DIRTEC para a correção dos problemas. Pelo exposto, deliberou-se pelo encerramento das demandas de adequação junto à DIRTEC, bem como da expansão do projeto para as comarcas do Estado, resultando no consequente encerramento desta iniciativa, conforme a Decisão 18610 do processo SEI 0936530-72.2022.8.13.0000. Até o encerramento do projeto, 45,5% das atividades previstas no Plano de Integração do Sistema PJe com o e-Carta Correios, foram concluídas, de forma que a meta estabelecida para o ano de 2025 (100%) não foi alcançada.</w:t>
            </w:r>
          </w:p>
        </w:tc>
      </w:tr>
    </w:tbl>
    <w:sectPr w:rsidR="00FC693F" w:rsidRPr="0006063C" w:rsidSect="00034616">
      <w:headerReference w:type="default" r:id="rId21"/>
      <w:footerReference w:type="default" r:id="rId22"/>
      <w:pgSz w:w="16838" w:h="11906" w:orient="landscape"/>
      <w:pgMar w:top="1417" w:right="850"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b/>
        <w:sz w:val="22"/>
      </w:rPr>
      <w:t>MONITORAMENTO DE METAS ESTRATÉGICAS - 2024</w:t>
    </w:r>
  </w:p>
  <w:p>
    <w:pPr>
      <w:spacing w:after="120"/>
      <w:jc w:val="center"/>
    </w:pPr>
    <w:r>
      <w:rPr>
        <w:rFonts w:ascii="Calibri" w:hAnsi="Calibri"/>
        <w:b w:val="0"/>
        <w:sz w:val="22"/>
      </w:rPr>
      <w:t>Relatório Técnico ao Comitê de Governança e Gestão Estratégica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SEM CLASSIFICAÇÃO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