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t>1</w:t>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t>1</w:t>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t>1</w:t>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t>1</w:t>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t>1</w:t>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t>1</w:t>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t>1</w:t>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t>1</w:t>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t>1</w:t>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t>1</w:t>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t>1</w:t>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t>1</w:t>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t>1</w:t>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t>1</w:t>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t>1</w:t>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t>1</w:t>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t>1</w:t>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t>1</w:t>
      </w:r>
    </w:p>
    <w:p>
      <w:pPr>
        <w:spacing w:after="0"/>
        <w:ind w:left="113"/>
        <w:tabs>
          <w:tab w:val="right" w:pos="9072" w:leader="dot"/>
        </w:tabs>
      </w:pPr>
      <w:r>
        <w:rPr>
          <w:rFonts w:ascii="Calibri" w:hAnsi="Calibri"/>
          <w:sz w:val="20"/>
        </w:rPr>
        <w:t>TJMG 137 - Executar, até 18/12/2025, 100% (cem por cento) das entregas necessárias à conclusão do Módulo de Depósitos Judiciais do Sistema de Gestão Financeira dos Depósitos Judiciais - SIDEJUD.</w:t>
      </w:r>
      <w:r>
        <w:tab/>
      </w:r>
      <w:r>
        <w:rPr>
          <w:rFonts w:ascii="Calibri" w:hAnsi="Calibri"/>
          <w:sz w:val="20"/>
        </w:rPr>
        <w:t>1</w:t>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t>1</w:t>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t>1</w:t>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t>1</w:t>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t>1</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t>1</w:t>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t>1</w:t>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t>1</w:t>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t>1</w:t>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t>1</w:t>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t>1</w:t>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t>1</w:t>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t>1</w:t>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t>1</w:t>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t>1</w:t>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t>1</w:t>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t>1</w:t>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30% (trinta por cento) os mandados judiciais em atraso na 1ª instância, há mais de 30 (trinta) dias.</w:t>
      </w:r>
      <w:r>
        <w:tab/>
      </w:r>
      <w:r>
        <w:rPr>
          <w:rFonts w:ascii="Calibri" w:hAnsi="Calibri"/>
          <w:sz w:val="20"/>
        </w:rPr>
        <w:t>1</w:t>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t>1</w:t>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t>1</w:t>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100 (cem) dias na Justiça Comum e no JESP.</w:t>
      </w:r>
      <w:r>
        <w:tab/>
      </w:r>
      <w:r>
        <w:rPr>
          <w:rFonts w:ascii="Calibri" w:hAnsi="Calibri"/>
          <w:sz w:val="20"/>
        </w:rPr>
        <w:t>1</w:t>
      </w:r>
    </w:p>
    <w:p>
      <w:pPr>
        <w:spacing w:after="0"/>
        <w:ind w:left="113"/>
        <w:tabs>
          <w:tab w:val="right" w:pos="9072" w:leader="dot"/>
        </w:tabs>
      </w:pPr>
      <w:r>
        <w:rPr>
          <w:rFonts w:ascii="Calibri" w:hAnsi="Calibri"/>
          <w:sz w:val="20"/>
        </w:rPr>
        <w:t>TJMG 147 - Reduzir, até 31/12/2025, em 10% (dez por cento) o estoque dos processos paralisados sem motivo legal, há mais de 100 (cem) dias, em secretaria na Justiça Comum e no JESP (excluídos os feitos do SEEU).</w:t>
      </w:r>
      <w:r>
        <w:tab/>
      </w:r>
      <w:r>
        <w:rPr>
          <w:rFonts w:ascii="Calibri" w:hAnsi="Calibri"/>
          <w:sz w:val="20"/>
        </w:rPr>
        <w:t>1</w:t>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t>1</w:t>
      </w:r>
    </w:p>
    <w:p>
      <w:pPr>
        <w:spacing w:after="0"/>
        <w:ind w:left="113"/>
        <w:tabs>
          <w:tab w:val="right" w:pos="9072" w:leader="dot"/>
        </w:tabs>
      </w:pPr>
      <w:r>
        <w:rPr>
          <w:rFonts w:ascii="Calibri" w:hAnsi="Calibri"/>
          <w:sz w:val="20"/>
        </w:rPr>
        <w:t>TJMG 149 - Reduzir, até 31/12/2025, 50% (cinquenta por cento) dos feitos em que tenha cadastrado réu falecido.</w:t>
      </w:r>
      <w:r>
        <w:tab/>
      </w:r>
      <w:r>
        <w:rPr>
          <w:rFonts w:ascii="Calibri" w:hAnsi="Calibri"/>
          <w:sz w:val="20"/>
        </w:rPr>
        <w:t>1</w:t>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t>1</w:t>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junho de 2025.</w:t>
      </w:r>
      <w:r>
        <w:tab/>
      </w:r>
      <w:r>
        <w:rPr>
          <w:rFonts w:ascii="Calibri" w:hAnsi="Calibri"/>
          <w:sz w:val="20"/>
        </w:rPr>
        <w:t>1</w:t>
      </w:r>
    </w:p>
    <w:p>
      <w:pPr>
        <w:sectPr>
          <w:headerReference w:type="default" r:id="rId9"/>
          <w:footerReference w:type="default" r:id="rId10"/>
          <w:pgSz w:w="11906" w:h="16838"/>
          <w:pgMar w:top="1134" w:right="1417" w:bottom="850" w:left="1417" w:header="283" w:footer="720" w:gutter="0"/>
          <w:cols w:space="720"/>
          <w:docGrid w:linePitch="360"/>
        </w:sectPr>
      </w:pPr>
    </w:p>
    <w:p>
      <w:pPr>
        <w:spacing w:before="36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spacing w:before="36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spacing w:before="36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57</w:t>
            </w:r>
          </w:p>
        </w:tc>
        <w:tc>
          <w:tcPr>
            <w:tcW w:type="dxa" w:w="1417"/>
            <w:shd w:fill="404040"/>
            <w:vAlign w:val="center"/>
          </w:tcPr>
          <w:p>
            <w:pPr>
              <w:jc w:val="center"/>
            </w:pPr>
            <w:r>
              <w:rPr>
                <w:rFonts w:ascii="Calibri" w:hAnsi="Calibri"/>
                <w:b/>
                <w:color w:val="FFFFFF"/>
                <w:sz w:val="22"/>
              </w:rPr>
              <w:t>-17%</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8</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57</w:t>
            </w:r>
          </w:p>
        </w:tc>
      </w:tr>
    </w:tbl>
    <w:p>
      <w:pPr>
        <w:spacing w:before="360" w:after="240"/>
        <w:ind w:left="283"/>
      </w:pPr>
      <w:r>
        <w:rPr>
          <w:rFonts w:ascii="Calibri" w:hAnsi="Calibri"/>
          <w:b/>
          <w:color w:val="E36C0A"/>
          <w:sz w:val="28"/>
        </w:rPr>
        <w:t>4. RESULTADOS ALCANÇADOS</w:t>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after="12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spacing w:before="0" w:after="0" w:line="240" w:lineRule="auto"/>
      </w:pPr>
      <w:r>
        <w:br w:type="page"/>
      </w:r>
    </w:p>
    <w:p>
      <w:pPr>
        <w:spacing w:before="240" w:after="12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104,28%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101,10%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93,29%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103,05%</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106,49%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98,29%</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44,66%</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140,04%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73,19%</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88,83%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84,76%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91,31%</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108,62%</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86,57%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85,09%</w:t>
            </w:r>
          </w:p>
        </w:tc>
      </w:tr>
    </w:tbl>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spacing w:before="240" w:after="12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spacing w:before="36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as atividades previstas no cronograma da iniciativa para o ano de 2025. Abaixo estão elencadas as principais atividades que foram concluídas entre janeiro e agosto de 2025: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Realização de visitas às comarcas para avaliar a acessibilidade dos prédios do TJMG, visando identificar necessidades de melhorias ou adequação. A primeira visita foi realizada na comarca de Pará de Minas, no dia 29/07/2025. Foram identificadas as necessidades de melhorias e adequações e enviadas para às áreas responsáveis adotarem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3.474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 janeiro até agosto de 2025, diversas ações foram executadas no âmbito do projeto vinculado a meta, resultando no alcance de 3.474 pessoas. Conjunto consolidado de ações e seus alcances: </w:t>
            </w:r>
          </w:p>
          <w:p>
            <w:pPr>
              <w:spacing w:before="0" w:after="0"/>
              <w:jc w:val="both"/>
            </w:pPr>
            <w:r>
              <w:rPr>
                <w:rFonts w:ascii="Calibri" w:hAnsi="Calibri"/>
                <w:sz w:val="20"/>
              </w:rPr>
              <w:t>•</w:t>
            </w:r>
            <w:r>
              <w:rPr>
                <w:rFonts w:ascii="Calibri" w:hAnsi="Calibri"/>
                <w:sz w:val="20"/>
              </w:rPr>
              <w:t xml:space="preserve"> Palestra realizada na OAB: 40 pessoas. </w:t>
            </w:r>
          </w:p>
          <w:p>
            <w:pPr>
              <w:spacing w:before="0" w:after="0"/>
              <w:jc w:val="both"/>
            </w:pPr>
            <w:r>
              <w:rPr>
                <w:rFonts w:ascii="Calibri" w:hAnsi="Calibri"/>
                <w:sz w:val="20"/>
              </w:rPr>
              <w:t>•</w:t>
            </w:r>
            <w:r>
              <w:rPr>
                <w:rFonts w:ascii="Calibri" w:hAnsi="Calibri"/>
                <w:sz w:val="20"/>
              </w:rPr>
              <w:t xml:space="preserve"> Apresentação da cartilha: 50 pessoas. </w:t>
            </w:r>
          </w:p>
          <w:p>
            <w:pPr>
              <w:spacing w:before="0" w:after="0"/>
              <w:jc w:val="both"/>
            </w:pPr>
            <w:r>
              <w:rPr>
                <w:rFonts w:ascii="Calibri" w:hAnsi="Calibri"/>
                <w:sz w:val="20"/>
              </w:rPr>
              <w:t>•</w:t>
            </w:r>
            <w:r>
              <w:rPr>
                <w:rFonts w:ascii="Calibri" w:hAnsi="Calibri"/>
                <w:sz w:val="20"/>
              </w:rPr>
              <w:t xml:space="preserve"> Lançamento do baralho Afago: 70 pessoas. </w:t>
            </w:r>
          </w:p>
          <w:p>
            <w:pPr>
              <w:spacing w:before="0" w:after="0"/>
              <w:jc w:val="both"/>
            </w:pPr>
            <w:r>
              <w:rPr>
                <w:rFonts w:ascii="Calibri" w:hAnsi="Calibri"/>
                <w:sz w:val="20"/>
              </w:rPr>
              <w:t>•</w:t>
            </w:r>
            <w:r>
              <w:rPr>
                <w:rFonts w:ascii="Calibri" w:hAnsi="Calibri"/>
                <w:sz w:val="20"/>
              </w:rPr>
              <w:t xml:space="preserve"> Lançamento da cartilha “Você não está sozinha”: 70 pessoas. </w:t>
            </w:r>
          </w:p>
          <w:p>
            <w:pPr>
              <w:spacing w:before="0" w:after="0"/>
              <w:jc w:val="both"/>
            </w:pPr>
            <w:r>
              <w:rPr>
                <w:rFonts w:ascii="Calibri" w:hAnsi="Calibri"/>
                <w:sz w:val="20"/>
              </w:rPr>
              <w:t>•</w:t>
            </w:r>
            <w:r>
              <w:rPr>
                <w:rFonts w:ascii="Calibri" w:hAnsi="Calibri"/>
                <w:sz w:val="20"/>
              </w:rPr>
              <w:t xml:space="preserve"> 19 ações realizadas na 29ª e 30ª Semana Justiça pela Paz em Casa (alcance total: 1.419 pessoas), distribuídas em: 11 ações no âmbito do projeto Construindo Igualdades; 1 ação no projeto Justiça Vai à Escola; 1 ação no projeto Conhecendo o Judiciário; 1 Cine Clube “A meia luz” e; 5 ações voltadas ao combate e prevenção a violência doméstica e familiar. </w:t>
            </w:r>
          </w:p>
          <w:p>
            <w:pPr>
              <w:spacing w:before="0" w:after="0"/>
              <w:jc w:val="both"/>
            </w:pPr>
            <w:r>
              <w:rPr>
                <w:rFonts w:ascii="Calibri" w:hAnsi="Calibri"/>
                <w:sz w:val="20"/>
              </w:rPr>
              <w:t>•</w:t>
            </w:r>
            <w:r>
              <w:rPr>
                <w:rFonts w:ascii="Calibri" w:hAnsi="Calibri"/>
                <w:sz w:val="20"/>
              </w:rPr>
              <w:t xml:space="preserve"> Implantação do grupo reflexivo na Comarca de Jequié (Jequeri): 20 pessoas. </w:t>
            </w:r>
          </w:p>
          <w:p>
            <w:pPr>
              <w:spacing w:before="0" w:after="0"/>
              <w:jc w:val="both"/>
            </w:pPr>
            <w:r>
              <w:rPr>
                <w:rFonts w:ascii="Calibri" w:hAnsi="Calibri"/>
                <w:sz w:val="20"/>
              </w:rPr>
              <w:t>•</w:t>
            </w:r>
            <w:r>
              <w:rPr>
                <w:rFonts w:ascii="Calibri" w:hAnsi="Calibri"/>
                <w:sz w:val="20"/>
              </w:rPr>
              <w:t xml:space="preserve"> Apresentação da COMSIV na EJEF – Posse dos novos juízes: 50 pessoas. </w:t>
            </w:r>
          </w:p>
          <w:p>
            <w:pPr>
              <w:spacing w:before="0" w:after="0"/>
              <w:jc w:val="both"/>
            </w:pPr>
            <w:r>
              <w:rPr>
                <w:rFonts w:ascii="Calibri" w:hAnsi="Calibri"/>
                <w:sz w:val="20"/>
              </w:rPr>
              <w:t>•</w:t>
            </w:r>
            <w:r>
              <w:rPr>
                <w:rFonts w:ascii="Calibri" w:hAnsi="Calibri"/>
                <w:sz w:val="20"/>
              </w:rPr>
              <w:t xml:space="preserve"> Apresentação dos projetos da COMSIV: 100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realizado TJMG e pelo TRT3 em três dias: 255 pessoas. </w:t>
            </w:r>
          </w:p>
          <w:p>
            <w:pPr>
              <w:spacing w:before="0" w:after="0"/>
              <w:jc w:val="both"/>
            </w:pPr>
            <w:r>
              <w:rPr>
                <w:rFonts w:ascii="Calibri" w:hAnsi="Calibri"/>
                <w:sz w:val="20"/>
              </w:rPr>
              <w:t>•</w:t>
            </w:r>
            <w:r>
              <w:rPr>
                <w:rFonts w:ascii="Calibri" w:hAnsi="Calibri"/>
                <w:sz w:val="20"/>
              </w:rPr>
              <w:t xml:space="preserve"> Curso de Capacitação para camareiras (Senac): 30 mulheres. </w:t>
            </w:r>
          </w:p>
          <w:p>
            <w:pPr>
              <w:spacing w:before="0" w:after="0"/>
              <w:jc w:val="both"/>
            </w:pPr>
            <w:r>
              <w:rPr>
                <w:rFonts w:ascii="Calibri" w:hAnsi="Calibri"/>
                <w:sz w:val="20"/>
              </w:rPr>
              <w:t>•</w:t>
            </w:r>
            <w:r>
              <w:rPr>
                <w:rFonts w:ascii="Calibri" w:hAnsi="Calibri"/>
                <w:sz w:val="20"/>
              </w:rPr>
              <w:t xml:space="preserve"> Palestra realizada na PUC Minas : 63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Três Pontas: 60 pessoas. </w:t>
            </w:r>
          </w:p>
          <w:p>
            <w:pPr>
              <w:spacing w:before="0" w:after="0"/>
              <w:jc w:val="both"/>
            </w:pPr>
            <w:r>
              <w:rPr>
                <w:rFonts w:ascii="Calibri" w:hAnsi="Calibri"/>
                <w:sz w:val="20"/>
              </w:rPr>
              <w:t>•</w:t>
            </w:r>
            <w:r>
              <w:rPr>
                <w:rFonts w:ascii="Calibri" w:hAnsi="Calibri"/>
                <w:sz w:val="20"/>
              </w:rPr>
              <w:t xml:space="preserve"> VI Conferência Nacional de Políticas Públicas – Apresentação da COMSIV Alfenas: 72 pessoas. </w:t>
            </w:r>
          </w:p>
          <w:p>
            <w:pPr>
              <w:spacing w:before="0" w:after="0"/>
              <w:jc w:val="both"/>
            </w:pPr>
            <w:r>
              <w:rPr>
                <w:rFonts w:ascii="Calibri" w:hAnsi="Calibri"/>
                <w:sz w:val="20"/>
              </w:rPr>
              <w:t>•</w:t>
            </w:r>
            <w:r>
              <w:rPr>
                <w:rFonts w:ascii="Calibri" w:hAnsi="Calibri"/>
                <w:sz w:val="20"/>
              </w:rPr>
              <w:t xml:space="preserve"> Reunião virtual Ordinária (Câmara Integrada de Políticas dos Direitos das Mulheres): 80 pessoas. </w:t>
            </w:r>
          </w:p>
          <w:p>
            <w:pPr>
              <w:spacing w:before="0" w:after="0"/>
              <w:jc w:val="both"/>
            </w:pPr>
            <w:r>
              <w:rPr>
                <w:rFonts w:ascii="Calibri" w:hAnsi="Calibri"/>
                <w:sz w:val="20"/>
              </w:rPr>
              <w:t>•</w:t>
            </w:r>
            <w:r>
              <w:rPr>
                <w:rFonts w:ascii="Calibri" w:hAnsi="Calibri"/>
                <w:sz w:val="20"/>
              </w:rPr>
              <w:t xml:space="preserve"> 1º Encontro Proc. da Mulher ALMG: 100 pessoas. </w:t>
            </w:r>
          </w:p>
          <w:p>
            <w:pPr>
              <w:spacing w:before="0" w:after="0"/>
              <w:jc w:val="both"/>
            </w:pPr>
            <w:r>
              <w:rPr>
                <w:rFonts w:ascii="Calibri" w:hAnsi="Calibri"/>
                <w:sz w:val="20"/>
              </w:rPr>
              <w:t>•</w:t>
            </w:r>
            <w:r>
              <w:rPr>
                <w:rFonts w:ascii="Calibri" w:hAnsi="Calibri"/>
                <w:sz w:val="20"/>
              </w:rPr>
              <w:t xml:space="preserve"> 2º Encontro Proc. Mulher ALMG: 100 pessoas. </w:t>
            </w:r>
          </w:p>
          <w:p>
            <w:pPr>
              <w:spacing w:before="0" w:after="0"/>
              <w:jc w:val="both"/>
            </w:pPr>
            <w:r>
              <w:rPr>
                <w:rFonts w:ascii="Calibri" w:hAnsi="Calibri"/>
                <w:sz w:val="20"/>
              </w:rPr>
              <w:t>•</w:t>
            </w:r>
            <w:r>
              <w:rPr>
                <w:rFonts w:ascii="Calibri" w:hAnsi="Calibri"/>
                <w:sz w:val="20"/>
              </w:rPr>
              <w:t xml:space="preserve"> Abertura do Curso de Capacitação em Oitiva de Mulheres Vítimas ou Testemunhas de Violência: 30 pessoas. </w:t>
            </w:r>
          </w:p>
          <w:p>
            <w:pPr>
              <w:spacing w:before="0" w:after="0"/>
              <w:jc w:val="both"/>
            </w:pPr>
            <w:r>
              <w:rPr>
                <w:rFonts w:ascii="Calibri" w:hAnsi="Calibri"/>
                <w:sz w:val="20"/>
              </w:rPr>
              <w:t>•</w:t>
            </w:r>
            <w:r>
              <w:rPr>
                <w:rFonts w:ascii="Calibri" w:hAnsi="Calibri"/>
                <w:sz w:val="20"/>
              </w:rPr>
              <w:t xml:space="preserve"> Inauguração da Casa da Mulher – Município de Ibirité: 120 pessoas. </w:t>
            </w:r>
          </w:p>
          <w:p>
            <w:pPr>
              <w:spacing w:before="0" w:after="0"/>
              <w:jc w:val="both"/>
            </w:pPr>
            <w:r>
              <w:rPr>
                <w:rFonts w:ascii="Calibri" w:hAnsi="Calibri"/>
                <w:sz w:val="20"/>
              </w:rPr>
              <w:t>•</w:t>
            </w:r>
            <w:r>
              <w:rPr>
                <w:rFonts w:ascii="Calibri" w:hAnsi="Calibri"/>
                <w:sz w:val="20"/>
              </w:rPr>
              <w:t xml:space="preserve"> Palestra de combate e prevenção à violência doméstica: 50 pessoas. </w:t>
            </w:r>
          </w:p>
          <w:p>
            <w:pPr>
              <w:spacing w:before="0" w:after="0"/>
              <w:jc w:val="both"/>
            </w:pPr>
            <w:r>
              <w:rPr>
                <w:rFonts w:ascii="Calibri" w:hAnsi="Calibri"/>
                <w:sz w:val="20"/>
              </w:rPr>
              <w:t>•</w:t>
            </w:r>
            <w:r>
              <w:rPr>
                <w:rFonts w:ascii="Calibri" w:hAnsi="Calibri"/>
                <w:sz w:val="20"/>
              </w:rPr>
              <w:t xml:space="preserve"> Assinatura do Acordo de Cooperação Técnica entre o Município de Contagem e o TJMG: 70 pessoas. </w:t>
            </w:r>
          </w:p>
          <w:p>
            <w:pPr>
              <w:spacing w:before="0" w:after="0"/>
              <w:jc w:val="both"/>
            </w:pPr>
            <w:r>
              <w:rPr>
                <w:rFonts w:ascii="Calibri" w:hAnsi="Calibri"/>
                <w:sz w:val="20"/>
              </w:rPr>
              <w:t>•</w:t>
            </w:r>
            <w:r>
              <w:rPr>
                <w:rFonts w:ascii="Calibri" w:hAnsi="Calibri"/>
                <w:sz w:val="20"/>
              </w:rPr>
              <w:t xml:space="preserve"> Roda de Conversa - Empresa Termotécnica: 80 pessoas </w:t>
            </w:r>
          </w:p>
          <w:p>
            <w:pPr>
              <w:spacing w:before="0" w:after="0"/>
              <w:jc w:val="both"/>
            </w:pPr>
            <w:r>
              <w:rPr>
                <w:rFonts w:ascii="Calibri" w:hAnsi="Calibri"/>
                <w:sz w:val="20"/>
              </w:rPr>
              <w:t>•</w:t>
            </w:r>
            <w:r>
              <w:rPr>
                <w:rFonts w:ascii="Calibri" w:hAnsi="Calibri"/>
                <w:sz w:val="20"/>
              </w:rPr>
              <w:t xml:space="preserve"> 7 palestras realizadas no âmbito do projeto Construindo Igualdades: 495 pessoas. </w:t>
            </w:r>
          </w:p>
          <w:p>
            <w:pPr>
              <w:spacing w:before="0" w:after="0"/>
              <w:jc w:val="both"/>
            </w:pPr>
            <w:r>
              <w:rPr>
                <w:rFonts w:ascii="Calibri" w:hAnsi="Calibri"/>
                <w:sz w:val="20"/>
              </w:rPr>
              <w:t>•</w:t>
            </w:r>
            <w:r>
              <w:rPr>
                <w:rFonts w:ascii="Calibri" w:hAnsi="Calibri"/>
                <w:sz w:val="20"/>
              </w:rPr>
              <w:t xml:space="preserve"> Agosto Lilás: Capacitação Integrada em Rede de Proteção em Pedro Leopoldo: 50 pessoas. Há uma expectativa de conclusão da meta, considerando o evento realizado na Praça da Estação, no Centro de Belo Horizonte, a 2ª edição do "Espaço D'Elas" e a 1ª do "Nascentes" em parceria com a Coordenadoria da Infância e da Juventude (Coinj), ainda em apuração, bem como as demais ações a serem executadas no restante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o ano de 2025, 1 município (Ouro Preto) formalizou sua adesão ao Programa Descubra, valor este que representa 4,7% de aumento em relação ao ano anterior, de forma que a meta proposta ainda não foi alcançada. Apesar disso, ressalta-se a expectativa de formalização da adesão de outros 13 municípios até final de novembro de 2025, o que representará um aumento de 66%, acima da meta estabelecida para 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2 parceiros foram formalmente cadastrados no Programa Descubra, sendo eles a empresa Barra Sete Engenharia e a Associação Junior Achievement de Minas Gerais. Há, ainda, a expectativa de formalização de mais 4 parceiros no mês de outubro de 2025, sendo eles: Tribunal de Contas do Estado - TCE, Ordem dos Advogados do Brasil – OAB, Polícia Militar de Minas Gerais - PMMG e Polícia Civil de Minas Gerais - PCMG. Nesse sentido, a estimativa é de que a meta prevista seja concluída com 6 parceiros formalizados, de um total de 10 previstos, de forma que a meta não seria alcançada em 2025.</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106.177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setembro de 2025, 106.177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144 pessoas alcançadas pelo Programa Entrega Legal (72 mães e 72 recém nascidos); </w:t>
            </w:r>
          </w:p>
          <w:p>
            <w:pPr>
              <w:spacing w:before="0" w:after="0"/>
              <w:jc w:val="both"/>
            </w:pPr>
            <w:r>
              <w:rPr>
                <w:rFonts w:ascii="Calibri" w:hAnsi="Calibri"/>
                <w:sz w:val="20"/>
              </w:rPr>
              <w:t>•</w:t>
            </w:r>
            <w:r>
              <w:rPr>
                <w:rFonts w:ascii="Calibri" w:hAnsi="Calibri"/>
                <w:sz w:val="20"/>
              </w:rPr>
              <w:t xml:space="preserve">1.516 crianças beneficiadas com a realização de sessões de Depoimento Especial;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382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314 pessoas certificadas pelo webinário Entrega Legal;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99.260 pessoas alcançadas pela realização de campanhas de adoção em estádios de futebol (Cruzeiro x Atlético (18/05) e Atlético x Corinthians (24/05)).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agosto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Em relação à entrega de “validação do fluxo de implantação dos Fóruns Digitais”, uma primeira versão foi elaborada pelo CEPROC em 2024 e submetida à análise das unidades responsáveis, para proposição de adequações. O retorno das áreas se prolongou mais do que o previsto, implicando atraso na conclusão da entrega. Em junho de 2025, as tratativas foram retomadas em reunião entre o CEPROC e as unidades, ocasião em que se identificou a necessidade de novos ajustes e melhor detalhamento do fluxo. As correções solicitadas pelas áreas já foram realizadas e a nova versão foi submetida em agosto para validação da Secretaria de Governança e Gestão Estratégica – SEGOVE. Aguarda-se retorno para que a entrega seja dada como concluída.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17” previu a execução, até dezembro de 2025, 70% (setenta por cento) dos marcos previstos para o ano na iniciativa "Plano de estruturação organizacional para a produtividade na prestação jurisdicional". Para 2025, o escopo inicialmente aprovado previu a conclusão de 6 entregas, sendo elas relativas ao (à): (1) Elaboração de minuta de Resolução que dispõe sobre os critérios para a lotação dos cargos de Assessor de Juiz, de Assistente de Juiz e das funções de confiança de assessoramento da Direção do Foro do Quadro de Cargos de Provimento em Comissão e de Funções de Confiança do Poder Judiciário; (2) Transferência do 29º cargo de Juiz de Direito do Juizado Especial (JESP) Cível para o JESP da Fazenda da Comarca de Belo Horizonte; (3) Alteração de competência de Varas da Comarca de Lavras; (4) Alteração de Competência de Varas Cíveis e de Família da Comarca de Ipatinga; (5) Alteração de Competência da Vara Empresarial, da Fazenda Pública e Autarquias, de Registros Públicos da Comarca de Ribeirão das Neves para Vara Empresarial, da Fazenda Pública e Autarquias, de Registros Públicos e de Acidentes do Trabalho da Comarca de Ribeirão das Neves; (6) Desinstalação do Ofício do 3º Tabelionato de Notas da Comarca de Ituiutaba. Dessas, até agosto, somente a primeira entrega ainda não havia sido concluída, num total de 5 entregas de 6 concluídas, valor que representa um resultado de 83% na meta estabelecida para 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julho de 2025 a iniciativa concluiu 4 (quatro) atividades que culminaram em duas grandes entregas. A primeira entrega foi o Acordo de Cooperação Técnica com a Procuradoria Geral do Município de Belo Horizonte - PGM e a segunda, denominada de Colaboração Projeto 1ª Vice SOMA, envolveu a participação de membros do CIJMG na capacitação e no fortalecimento das práticas gerenciais da 1ª Vice-Presidência, em especial, com relação às atribuições e realizações do Centro de Inteligência que podem auxiliar de forma relevante a prestação jurisdicional na segunda instância. Dessa forma, o cumprimento a meta alcançou o percentual de apuração de 33% até a data do último monitoramento. No entanto, vale destacar que várias atividades estão previstas paras serem executadas nos meses finais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51.638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agosto de 2025, foram proferidos 51.638 atos jurisdicionais em caráter de cooperação, sendo: cooperação, sendo: 12.267 atos relacionados ao Programa Justiça Eficiente – PROJEF; 19.266 atos no Núcleo de Justiça 4.0 – Cível, 10 atos no Núcleo de Justiça 4.0 – Juízado Especial, 1.839 atos no Núcleo de Justiça 4.0 – Criminal, 10.605 atos Núcleo de Justiça 4.0 - Cooperação Judiciária, 4.737 atos na Central de Execução de Medida de Segurança 4.0 – Cemes*, 2.424 atos no Núcleo de Justiça 4.0 – Fazendário, 109 atos na Turma Recursal. Além disso, foram proferidos 466.699 atos de secretaria, em caráter de cooperação. *Sabe-se da existência de inconsistência nas informações prestadas pela gerente da Central de Execução de Medida de Segurança 4.0 – CEMES. Em março de 2025, houve a expansão da atuação do “Núcleo de Justiça 4.0 – Cível” (Portaria nº 7129/PR/2025), que passou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plataformas de acordo/renegociação de débitos ou que envolvam "score" do consumidor; De busca e apreensão em alienação fiduciária; e em produção antecipada de provas (classe), nas referidas matérias.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este Núcleo atuará em ações: que tramitam pelo procedimento especial (Leis nº 9.099/1995 - Dispõe sobre os Juizados Especiais Cíveis e Criminais, e Lei nº 12.153/2009 -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têm sobrecarga de trabalho e onde não há unidade jurisdicional instalada ou juízes titulares ou com designação exclusiva. Os magistrados estão realizando a triagem dos processos e, na sequência, os remeterão ao Núcleo.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Continua em andamento no âmbito do “Núcleo de Justiça 4.0 – Fazenda Pública”, a cooperação para extinção de execuções fiscais que possuem valor da causa até R$ 10 mil e que não tenham movimentação útil há mais de um ano, nos termos da Resolução nº 547, do CNJ, e do Tema 1.184, do Supremo Tribunal Federal (STF).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128 previa a cessação da competência delegada nas ações previdenciárias e execuções fiscais em pelo menos 2 (duas) Comarcas até dezembro de 2025, em decorrência de UAA instalada em Comarca do TJMG. Contudo, a meta foi revista tendo em vista tanto a ampliação do escopo do projeto quanto a nova perspectiva temporal para comunicação dos resultados da política, que passou a considerar todas as Comarcas que tiveram a competência delegada cessada desde a publicação da Resolução PRESI 2/2024, que “Regulamenta a criação, a instalação e o funcionamento das Unidades Avançadas de Atendimento da Justiça Federal da 6ª Região – UAA” até o período analisado, independente se a cessação ocorreu em decorrência de UAA instalada em parceria com o TJMG, em Comarca, ou em parceria com prefeitura em municípios diversos. Foi proposta a revisão da meta para TJMG 128 - Cessar a competência delegada nas ações previdenciárias e execuções fiscais em pelo menos 40 comarcas até dezembro de 2025. Considerada a nova meta, verifica-se que até outubro de 2025, 44 comarcas tiveram a competência delegada cessada, representando 110% de cumprimento da meta. Sendo em 2024, 18 Comarcas: Águas Formosas; Almenara; Araçuaí; Capelinha; Carangola; Carlos Chagas; Corinto; Curvelo; Diamantina; Jacinto; Jequitinhonha; Malacacheta; Medina; Mutum; Nanuque; Novo Cruzeiro; Pedra Azul e Serro Patrocínio como projeto piloto. Em 2025 já foram cessadas competências delegadas em 25 Comarcas, sendo: 15 comarcas em decorrência de UAA instalada em Comarcas do TJMG – Monte Carmelo, Nova Ponte, Minas Novas, Turmalina, Januária, Manga, Montalvânia, Boa Esperança, Candeias, Taiobeiras, Rio Pardo de Minas, São João do Paraíso, João Pinheiro, Coração de Jesus e Brasília de Minas, e em 10 comarcas em decorrência de UAA instaladas em parceria com outros parceiros (prefeituras), Araguari; Barão de Cocais; Divino; Estrela do Sul; Guaxupé; Itabira; Monte Belo; Muzambinho; Santa Bárbara; e Tupaciguara.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130 prevê a implantação da CPE em 13 (treze) Grupos Jurisdicionais da Turmas Recursais do Tribunal de Justiça de Minas Gerais, no ano de 2025. Desse total, 10 foram concluídos até outubro de 2025: Grupo Jurisdicional de Conselheiro Lafaiete, Uberlândia, Uberaba e Araguari, Passos, Paracatu, Divinópolis, Ipatinga, Varginha e Lavras. Além disso, ainda estão previstas para 2025 a implantação em mais 19 Grupos Jurisdicionais, motivo pelo qual estima-se que a meta seja alcançada. No entanto, destaca-se que o plano de implantação da CPE nos Grupos Jurisdicionais pode variar consideravelmente, tendo em vista que estão diretamente relacionadas com a disponibilidade da Presidência do TJMG para a realização da solenidade e à complexidade das tratativas necessárias à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Durante a estruturação do Planejamento Estratégico para 2025, 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92,13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2 (duas) entregas foram canceladas, 5 (cinco) estão em andamento e 11 (onze) entregas foram concluídas. O que representa o valor apurado de 85,32% até 06/10/2025.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Para fins de mensuração da meta TJMG 109, foi definido um universo de 33 obras para o ano de 2025, conforme o indicado no campo “escopo” deste relatório. Até agosto, 10 obras foram concluídas, correspondendo a um valor apurado de 30,3%. Dessas, 9 obras disseram respeito à construção ou ampliação de Fóruns e, por isso, foram concluídas a partir da emissão do “Termo de Autorização para Ocupação - TAO” e 1 obra, disse respeito à reforma do Heliponto do edifício Sede, razão pela qual sua conclusão foi contabilizada a partir da emissão do “Termo de Recebimento Provisório - TRP”. São elas: </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w:t>
            </w:r>
          </w:p>
          <w:p>
            <w:pPr>
              <w:spacing w:before="0" w:after="0"/>
              <w:jc w:val="both"/>
            </w:pPr>
            <w:r>
              <w:rPr>
                <w:rFonts w:ascii="Calibri" w:hAnsi="Calibri"/>
                <w:sz w:val="20"/>
              </w:rPr>
              <w:t>•</w:t>
            </w:r>
            <w:r>
              <w:rPr>
                <w:rFonts w:ascii="Calibri" w:hAnsi="Calibri"/>
                <w:sz w:val="20"/>
              </w:rPr>
              <w:t>Obras com “Termo de Recebimento Provisório - TRP” emitidos: BH Sede - Heliponto (16/05/2025). Para 2025, ainda está prevista a conclusão de 7 obras. Nesse sentido, estima-se que o resultado final da meta será de 51,5% de execução em dezembro de 2025. Esse percentual se justifica pelo fato de que 1 obra (Poços de Caldas) foi cancelada, tendo seu contrato rescindido em 29/05/2025 a pedido da empresa (Destak), que passa por um processo de recuperação judicial, e outras 12 obras foram replanejadas para 2026, em razão de atrasos na execução, resultando na prorrogação dos contratos mediante Termo Aditivo. Além disso, há expectativa do cancelamento de outras 3 obras: Itajubá, cuja empresa passa por um processo de recuperação judicial; BH – Olegário Maciel, cuja rescisão pode ocorrer a pedido do TJMG, em razão de descumprimento contratual por parte da empresa contratada (Consuloc); e a obra do Palácio (BH), que precisará ser adaptado para atender a especificações de órgãos como o Museu da Memória do Judiciário Mineiro (MEJUD) e a Escola Nacional de Formação e Aperfeiçoamento de Magistrados Ministro Sálvio de Figueiredo Teixeira (ENFAM).</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é “concluir 100% das entregas previstas para o “Programa de Modernização dos Plenários, suas Áreas externas de dos Painéis de Comunicação” até dezembro de 2025. Verifica-se que, até agosto de 2025, foram concluídas 25 entregas das 31 prevista para o Programa, sendo 6 em 2023, 13 em 2024 e 6 em 2025, obtendo um resultado apurado de 86%. As entregas concluídas em 2025, são: </w:t>
            </w:r>
          </w:p>
          <w:p>
            <w:pPr>
              <w:spacing w:before="0" w:after="0"/>
              <w:jc w:val="both"/>
            </w:pPr>
            <w:r>
              <w:rPr>
                <w:rFonts w:ascii="Calibri" w:hAnsi="Calibri"/>
                <w:sz w:val="20"/>
              </w:rPr>
              <w:t>•</w:t>
            </w:r>
            <w:r>
              <w:rPr>
                <w:rFonts w:ascii="Calibri" w:hAnsi="Calibri"/>
                <w:sz w:val="20"/>
              </w:rPr>
              <w:t xml:space="preserve"> Implantação dos equipamentos Audiovisuais e TIC no Auditório do Juizado Especial Cível e no Auditório do Pleno (ed. Sede). </w:t>
            </w:r>
          </w:p>
          <w:p>
            <w:pPr>
              <w:spacing w:before="0" w:after="0"/>
              <w:jc w:val="both"/>
            </w:pPr>
            <w:r>
              <w:rPr>
                <w:rFonts w:ascii="Calibri" w:hAnsi="Calibri"/>
                <w:sz w:val="20"/>
              </w:rPr>
              <w:t>•</w:t>
            </w:r>
            <w:r>
              <w:rPr>
                <w:rFonts w:ascii="Calibri" w:hAnsi="Calibri"/>
                <w:sz w:val="20"/>
              </w:rPr>
              <w:t xml:space="preserve"> Implantação de VideoWall – Auditório do Pleno. </w:t>
            </w:r>
          </w:p>
          <w:p>
            <w:pPr>
              <w:spacing w:before="0" w:after="0"/>
              <w:jc w:val="both"/>
            </w:pPr>
            <w:r>
              <w:rPr>
                <w:rFonts w:ascii="Calibri" w:hAnsi="Calibri"/>
                <w:sz w:val="20"/>
              </w:rPr>
              <w:t>•</w:t>
            </w:r>
            <w:r>
              <w:rPr>
                <w:rFonts w:ascii="Calibri" w:hAnsi="Calibri"/>
                <w:sz w:val="20"/>
              </w:rPr>
              <w:t xml:space="preserve"> Implantação do Projeto Piloto para transmissão ao vivo (streaming) das Sessões de Julgamento do Órgão Especial, utilizando a Plataforma Youtube. </w:t>
            </w:r>
          </w:p>
          <w:p>
            <w:pPr>
              <w:spacing w:before="0" w:after="0"/>
              <w:jc w:val="both"/>
            </w:pPr>
            <w:r>
              <w:rPr>
                <w:rFonts w:ascii="Calibri" w:hAnsi="Calibri"/>
                <w:sz w:val="20"/>
              </w:rPr>
              <w:t>•</w:t>
            </w:r>
            <w:r>
              <w:rPr>
                <w:rFonts w:ascii="Calibri" w:hAnsi="Calibri"/>
                <w:sz w:val="20"/>
              </w:rPr>
              <w:t xml:space="preserve"> Implantação e gerenciamento de Equipe Técnica para operacionalização dos novos equipamentos de áudio e TIC. </w:t>
            </w:r>
          </w:p>
          <w:p>
            <w:pPr>
              <w:spacing w:before="0" w:after="0"/>
              <w:jc w:val="both"/>
            </w:pPr>
            <w:r>
              <w:rPr>
                <w:rFonts w:ascii="Calibri" w:hAnsi="Calibri"/>
                <w:sz w:val="20"/>
              </w:rPr>
              <w:t>•</w:t>
            </w:r>
            <w:r>
              <w:rPr>
                <w:rFonts w:ascii="Calibri" w:hAnsi="Calibri"/>
                <w:sz w:val="20"/>
              </w:rPr>
              <w:t xml:space="preserve"> Implantação do Software de Videoconferência. Além disso, 1 entrega foi cancelada e 2 suspensas.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Já a entrega “Sistema para Votação Administrativa” foi suspensa. Em 2023, o processo licitatório para a aquisição do sistema foi deserto. Diante disso, deliberou-se por promover melhorias no módulo SEI Julgar para viabilizar a sua utilização pelo TJMG. Embora algumas customizações já tenham sido realizadas ao longo de 2024 e 2025, ainda restam duas funcionalidades a serem desenvolvidas, sem as quais não é possível realizar o projeto piloto: a possibilidade de disponibilizar o processo entre sessões e a manutenção exclusiva da sessão denominada "fim do mundo", com ocultação das demais. Em maio de 2025, o SEI JULGAR foi apresentado ao Secretário de Governança e Gestão Estratégica, incluindo a apresentação do esforço necessário para implementar as funcionalidades pendentes. Na ocasião, que foi deliberada a suspensão da entrega, até que seja viável a priorização da demanda pela equipe de desenvolvimento, que, no momento, está alocada em outras frentes de trabalho igualmente relevantes para a Instituição. Suspensa também, a entrega Implantação da Plataforma Youtube para transmissão ao vivo (streaming) das sessões de julgamento, tendo em vista o atraso na entrega do piloto, que prevê a expansaõ das transmissões ao vivo para as sessões do Plenários. Para expansão, aguarda-se a definição da Alta Administração quanto a estratégia para expansão (data, ordem dos Plenários, etc.) motivo pelo qual a entrega foi suspensa a pedido da SATOP ( Serviço de Apoio Técnico e Operacional de produção Audiovisual) no monitoramento de setembro de 2025. Diante da ausência de uma previsão de priorização do desenvolvimento das funcionalidades necessárias ao pleno funcionamento do módulo do SEI JULGAR em votação Administrativa e do recorrente atraso na disponibilização do QR CODE para acesso às pautas das seções de julgamento, verifica-se um risco de não alcance da meta em 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de modernização,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agosto de 2025, o desempenho na execução da meta foi de 68%, com expectativa de alcançar 100% até o final de 2025, especialmente a partir da conclusão de atividades relacionadas à entrega “ Implantação do Sistema de Cálculos e migração de dados do SGP”, à “Migração de precatórios do SEI/SGP para o eproc 2G”, à “ Implantação e integração do OPE (Ofício Precatório Eletrônico) com o eproc” e à “ Solução de Pagamento de Precatórios”.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período de janeiro a julho, o desempenho na execução da meta foi de 40,9%. Importante ressaltar que, várias atividades foram replanejadas para execução no segundo semestre e que, a apuração do projeto é realizada de trimestralmente.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Até agosto de 2025, 18 já foram concluídas, correspondendo a 43,9% de execução. Entretanto, após deliberação da Presidência de manutenção do atual modelo de cobrança registrada, em setembro de 2025, as atividades relativas à entrega de “Implantação do serviço de arrecadação” foram canceladas, levando à redução do universo considerado para 2025, e, por consequência, para o cálculo da meta, de 41 para 26. Nesse contexto, o resultado alcançado na meta até o mês de setembro foi de 69%. Dentre as atividades concluídas no ano, destaca-se a realização de um estudo sobre a possibilidade de pagamento de custas processuais e taxas judiciais com cartão de crédito no âmbito do Judiciário; a realização de estudos sobre as opções de serviço do mercado, bem como sobre a base legal e regulatória aplicável à implantação do serviço de arrecadação, e; a elaboração de um projeto para divulgação de conceitos e termos relacionados à Gestão de Receitas no TJMG, denominado “Vitral Gerec”. Outras 8 atividades estão em execução, com previsão de conclusão no segundo semestre de 2025. Nesse sentido, estima-se que o resultado da meta será de 100%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cumprimento das entregas relacionadas ao Módulo de Depósitos Judiciais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137</w:t>
            </w:r>
            <w:r>
              <w:rPr>
                <w:rFonts w:ascii="Calibri" w:hAnsi="Calibri"/>
                <w:sz w:val="18"/>
              </w:rPr>
              <w:t xml:space="preserve"> - Executar, até 18/12/2025, 100% (cem por cento) das entregas necessárias à conclusão do Módulo de Depósitos Judiciais do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Sistema de Depósitos Judiciais – SIDEJUD tem por objetivo a administração autônoma e centralizada dos Depósitos Judiciais e de Precatórios permitindo aos Tribunais a gestão exclusiva e centralizada dos depósitos judiciais, passando pelas etapas de entrada, processamento e saída dos depósitos judicias. À época da definição da meta para o ano, em maio de 2025, a meta “TJMG 137 - Executar, até 18/12/2025, 100% (cem por cento) das entregas necessárias à conclusão do Módulo de Depósitos Judiciais do Sistema de Gestão Financeira dos Depósitos Judiciais – SIDEJUD” foi estabelecida tendo como base o conhecimento da equipe de negócio (DIRFIN) e da equipe de TIC (DIRTEC) acerca das entregas pretendidas para o referido módulo. No entanto, durante a execução do projeto, percebeu-se que a meta havia sido superestimada e que, na realidade, as entregas necessárias à conclusão do Módulo não seriam finalizadas antes de junho de 2026, sendo ele apenas parcialmente concluído em 2025. Essa conclusão fundamentou-se na aplicação de uma metodologia que permitiu avaliar a complexidade e a duração das atividades previstas. Diante disso, propôs-se a aprovação de uma nova meta para o ano de 2025, que considere a expectativa de “Concluir, até 19/12/2025, 40% do projeto de implantação do Sistema de Gestão Financeira dos Depósitos Judiciais – SIDEJUD.”, apontando para a expectativa de conclusão parcial do projeto em 2025. Nesse sentido, destaca-se ainda a alteração da perspectiva da meta, que deixa de considerar apenas o módulo de Depósitos Judiciais e passa a considerar o sistema como um todo, tendo em vista que o sistema só será colocado em produção quando os três módulos estiverem concluídos.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três módulos foram definidos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correspondia a implantação do serviço de arrecadação no TJMG, em substituição ao atual modelo de cobrança registrada, em operação junto ao Banco do Brasil até o mês de novembro; </w:t>
            </w:r>
          </w:p>
          <w:p>
            <w:pPr>
              <w:spacing w:before="0" w:after="0"/>
              <w:jc w:val="both"/>
            </w:pPr>
            <w:r>
              <w:rPr>
                <w:rFonts w:ascii="Calibri" w:hAnsi="Calibri"/>
                <w:sz w:val="20"/>
              </w:rPr>
              <w:t>•</w:t>
            </w:r>
            <w:r>
              <w:rPr>
                <w:rFonts w:ascii="Calibri" w:hAnsi="Calibri"/>
                <w:sz w:val="20"/>
              </w:rPr>
              <w:t xml:space="preserve">O módulo “Orçamentário”: que trabalhou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teve como MVP definido o processamento e gestão do adiantamento financeiro da instituição. Apesar do avanço conseguido no desenvolvimento dos MVPs, especialmente do MVP 1, dada a conclusão dos desenvolvimentos e da integração com o serviço de Transação Bancária vinculados ao Módulo de Gestão de Receitas até setembro de 2025, era sabido que não possível concluir as adequações tecnológicas necessárias ao seu devido funcionamento dentro do prazo esperado, haja vista a dependência da funcionalidade de adequações a serem realizadas no sistema de Guias Web que só poderia ser concluídas em abril de 2026, de forma que o MVP 1 não poderia ser contado para o cumprimento da meta. Adicionalmente, no mês de setembro, por determinação da Presidência, a estratégia de substituição do modelo de arrecadação pelo modelo de cobrança registrada foi interrompida, levando ao refugo do MVP 1 conforme o que havia sido estabelecido em favor de um novo MVP que permita a operacionalização da Cobrança Registrada através do GFO. Destaca-se ainda que o desenvolvimento dos demais MVPs está também previsto para ser concluído no primeiro semestre de 2026. Nesse sentido, até setembro, a meta prevista para o ano não foi alcançada, tendo resultado igual a 0. Uma vez que há expectativa de conclusão dos MVP 2 e 3 somente no primeiro semestre de 2026, e que o MVP 1 será reestruturado para então ser trabalhado, estima-se que a meta proposta para o ano não será alcançada.</w:t>
            </w:r>
          </w:p>
        </w:tc>
      </w:tr>
    </w:tbl>
    <w:p>
      <w:pPr>
        <w:sectPr>
          <w:headerReference w:type="default" r:id="rId21"/>
          <w:footerReference w:type="default" r:id="rId22"/>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outubro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95,55% (noventa e cinco por cento) dos processos conclusos no prazo de até 90 (noventa) dias, contado da data da conclusão, o resultado médio apurado até outubro de 2025 é de 94,6%. Meta alcançada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71,71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 obtém -se o resultado apurado de 71,71% de conclusão das atividades previstas até 29 de agosto de 2025. Das 99 atividades previstas para 2025, 71 atividades foram concluídas, sendo: 14 ações formativas da 1ª vice Soma no período de 07/01/2025 a 27/06/2025, bem como a conclusão do Guia de suporte à Organização, Cumprimento de Metas e Aperfeiçoamento Gerencial, sendo disponibilizado de maneira impressa e virtual aos gabinetes. Concluídas também, as etapas dos estudos e pesquisas preliminares e estruturação do projeto do Banco Institucional em 29/07/2025. Concluídas as etapas de viabilização e do conteúdo programático par o curso Gramática e Texto no Judiciário: Uma abordagem contemporânea. Também já concluídas as etapas de reunião com as áreas UaiLab e EJEF, bem como definição do cronograma, conteúdo e palestrantes do Encontro Linguagem Simples no TJMG.</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outubro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outubro de 2025, é de 66,3%, aquém do objetivo. Segundo o Centro de Resultados da prestação jurisdicional na 2ª Instância (CEINJUR), o desempenho abaixo do esperado de ambas as metas pode ser atribuído a fatores como o aumento no volume de processos e variações de produtividade causadas por férias e recessos.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92% até outubro de 2025. O CEINJUR explica que não alcance da meta foi resultado de erros estruturais que afetaram os dados de janeiro e início de fevereiro. Esses problemas foram resolvidos no final de fevereiro, permitindo a normalização dos indicadores. Além disso, o mês de dezembro é atípico por conta do recesso judiciário, o que também impacta os resultados de início de ano. No entanto, a tendência dos resultados aponta para o alcance da meta até o final do ano.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outubro de 2025 é de 77,6%.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outubro de 2025 de 90,5% indica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Isso ocorreu porque nos meses de fevereiro, abril, maio, junho, julho e agosto houve julgamento de mérito, porém, todos eles superiores a 320 dias. E, no mês de março,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 IE 75, 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Nos meses de janeiro, fevereiro, março, maio, junho e julho, houve julgamento de mérito, porém todos superiores a 150 dias. E, nos meses de abril e agosto não houve julgamento do mérito.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95, que estabelece a execução de 100% das atividades previstas no Projeto de Aprimoramento da Gestão de Cobrança de Custas Processuais em 2025, alcançou 23%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2025,100% das atividades previstas para o ano. Das 29 atividades previstas para o ano de 2025, 22 foram concluídas, o que corresponde ao valor apurado de 76% em 04/11/2025. As atividades concluídas são: Oferta do curso de Precedentes – Juízes leigos e servidores. Oferta do curso de treinamento para Escrivães e Escreventes - Gestão de Processos Sobrestados. Na qual participaram da formação, aproximadamente, 25 gestores de cartórios Cíveis e Criminais. Implantação da ferramenta automatizada de identificação de precedentes potencialmente aplicáveis,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23"/>
          <w:footerReference w:type="default" r:id="rId24"/>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22/08/2025, foram concluídas 71% das entregas previstas para o Programa. Entre as entregas realizadas em 2025, destaca-se a conclusão do plano de curso de Direito Processual Civil do 4º Curso de Pós-Graduação lato sensu da EJEF e do plano de curso de Direito Público do 5º Curso de Pós-Graduação lato sensu da EJEF. Além disso, a parceria firmada com a PUC-MG para o estudo e desenvolvimento 1º Curso de Pós-Graduação stricto sensu (mestrado) em parceria com outras instituições de ensino, cuja realização está prevista para ocorrer em 02/12/2025, com o tema Ciências Sociais da PUC Minas.</w:t>
            </w:r>
          </w:p>
        </w:tc>
      </w:tr>
    </w:tbl>
    <w:p>
      <w:pPr>
        <w:sectPr>
          <w:headerReference w:type="default" r:id="rId25"/>
          <w:footerReference w:type="default" r:id="rId2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De janeiro a agosto de 2025, foram realizadas 63 ações em 63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Encontra-se em desenvolvimento o projeto Novos Voos, na comarca de Araxá. Além disso, estão em fase de formalização 8 outros projetos: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Entre janeiro de setembro foram realizados 42 Círculos de Construção de Paz: </w:t>
            </w:r>
          </w:p>
          <w:p>
            <w:pPr>
              <w:spacing w:before="0" w:after="0"/>
              <w:jc w:val="both"/>
            </w:pPr>
            <w:r>
              <w:rPr>
                <w:rFonts w:ascii="Calibri" w:hAnsi="Calibri"/>
                <w:sz w:val="20"/>
              </w:rPr>
              <w:t>•</w:t>
            </w:r>
            <w:r>
              <w:rPr>
                <w:rFonts w:ascii="Calibri" w:hAnsi="Calibri"/>
                <w:sz w:val="20"/>
              </w:rPr>
              <w:t xml:space="preserve"> Janeiro: 1 Itabira, 1 Ponte Nova e 1 Ceajur. </w:t>
            </w:r>
          </w:p>
          <w:p>
            <w:pPr>
              <w:spacing w:before="0" w:after="0"/>
              <w:jc w:val="both"/>
            </w:pPr>
            <w:r>
              <w:rPr>
                <w:rFonts w:ascii="Calibri" w:hAnsi="Calibri"/>
                <w:sz w:val="20"/>
              </w:rPr>
              <w:t>•</w:t>
            </w:r>
            <w:r>
              <w:rPr>
                <w:rFonts w:ascii="Calibri" w:hAnsi="Calibri"/>
                <w:sz w:val="20"/>
              </w:rPr>
              <w:t xml:space="preserve"> Fevereiro: 1 Igarapé, 1 Itabira, 1 Ponte Nova e 2 no âmbito do projeto trabalhadores. </w:t>
            </w:r>
          </w:p>
          <w:p>
            <w:pPr>
              <w:spacing w:before="0" w:after="0"/>
              <w:jc w:val="both"/>
            </w:pPr>
            <w:r>
              <w:rPr>
                <w:rFonts w:ascii="Calibri" w:hAnsi="Calibri"/>
                <w:sz w:val="20"/>
              </w:rPr>
              <w:t>•</w:t>
            </w:r>
            <w:r>
              <w:rPr>
                <w:rFonts w:ascii="Calibri" w:hAnsi="Calibri"/>
                <w:sz w:val="20"/>
              </w:rPr>
              <w:t xml:space="preserve"> Março: 1 Governador Valadares, 1 Itabira, 1 Ponte Nova, 1 Viçosa e 3 no âmbito do projeto trabalhadores. </w:t>
            </w:r>
          </w:p>
          <w:p>
            <w:pPr>
              <w:spacing w:before="0" w:after="0"/>
              <w:jc w:val="both"/>
            </w:pPr>
            <w:r>
              <w:rPr>
                <w:rFonts w:ascii="Calibri" w:hAnsi="Calibri"/>
                <w:sz w:val="20"/>
              </w:rPr>
              <w:t>•</w:t>
            </w:r>
            <w:r>
              <w:rPr>
                <w:rFonts w:ascii="Calibri" w:hAnsi="Calibri"/>
                <w:sz w:val="20"/>
              </w:rPr>
              <w:t xml:space="preserve"> Abril: 1 Araxá, 1 Igarapé, 1 Itabira, 1 João Monlevade, 01 Ceajur e 2 no âmbito do projeto trabalhadores. </w:t>
            </w:r>
          </w:p>
          <w:p>
            <w:pPr>
              <w:spacing w:before="0" w:after="0"/>
              <w:jc w:val="both"/>
            </w:pPr>
            <w:r>
              <w:rPr>
                <w:rFonts w:ascii="Calibri" w:hAnsi="Calibri"/>
                <w:sz w:val="20"/>
              </w:rPr>
              <w:t>•</w:t>
            </w:r>
            <w:r>
              <w:rPr>
                <w:rFonts w:ascii="Calibri" w:hAnsi="Calibri"/>
                <w:sz w:val="20"/>
              </w:rPr>
              <w:t xml:space="preserve"> Maio: 1 Araxá, 1 Governador Valadares, 1 Igarapé, 1 Itabira, 1 João Monlevade, 1 Ponte Nova, 2 Ceajur, 2 no âmbito do projeto trabalhadores. </w:t>
            </w:r>
          </w:p>
          <w:p>
            <w:pPr>
              <w:spacing w:before="0" w:after="0"/>
              <w:jc w:val="both"/>
            </w:pPr>
            <w:r>
              <w:rPr>
                <w:rFonts w:ascii="Calibri" w:hAnsi="Calibri"/>
                <w:sz w:val="20"/>
              </w:rPr>
              <w:t>•</w:t>
            </w:r>
            <w:r>
              <w:rPr>
                <w:rFonts w:ascii="Calibri" w:hAnsi="Calibri"/>
                <w:sz w:val="20"/>
              </w:rPr>
              <w:t xml:space="preserve"> Junho: 1 Araxá, 1 Igarapé, 1 Itabira e 2 no âmbito do projeto trabalhadores. </w:t>
            </w:r>
          </w:p>
          <w:p>
            <w:pPr>
              <w:spacing w:before="0" w:after="0"/>
              <w:jc w:val="both"/>
            </w:pPr>
            <w:r>
              <w:rPr>
                <w:rFonts w:ascii="Calibri" w:hAnsi="Calibri"/>
                <w:sz w:val="20"/>
              </w:rPr>
              <w:t>•</w:t>
            </w:r>
            <w:r>
              <w:rPr>
                <w:rFonts w:ascii="Calibri" w:hAnsi="Calibri"/>
                <w:sz w:val="20"/>
              </w:rPr>
              <w:t xml:space="preserve"> Julho: 1 Ceajur. </w:t>
            </w:r>
          </w:p>
          <w:p>
            <w:pPr>
              <w:spacing w:before="0" w:after="0"/>
              <w:jc w:val="both"/>
            </w:pPr>
            <w:r>
              <w:rPr>
                <w:rFonts w:ascii="Calibri" w:hAnsi="Calibri"/>
                <w:sz w:val="20"/>
              </w:rPr>
              <w:t>•</w:t>
            </w:r>
            <w:r>
              <w:rPr>
                <w:rFonts w:ascii="Calibri" w:hAnsi="Calibri"/>
                <w:sz w:val="20"/>
              </w:rPr>
              <w:t xml:space="preserve"> Agosto: 2 no âmbito do projeto trabalhadores. </w:t>
            </w:r>
          </w:p>
          <w:p>
            <w:pPr>
              <w:spacing w:before="0" w:after="0"/>
              <w:jc w:val="both"/>
            </w:pPr>
            <w:r>
              <w:rPr>
                <w:rFonts w:ascii="Calibri" w:hAnsi="Calibri"/>
                <w:sz w:val="20"/>
              </w:rPr>
              <w:t>•</w:t>
            </w:r>
            <w:r>
              <w:rPr>
                <w:rFonts w:ascii="Calibri" w:hAnsi="Calibri"/>
                <w:sz w:val="20"/>
              </w:rPr>
              <w:t xml:space="preserve"> Setembro: 2 no âmbito do projeto trabalhadores. Os círculos de trabalhadores é um projeto de circulos onlines.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1.935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De janeiro a agosto, foram realizados 1.935 procedimentos pré-processuais de reconhecimento de paternidade, alcançando-se, portanto, a meta antes do final do ano.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 IE 47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De janeiro a julho, foram agendadas 184.502 sessões nos CEJUSCs. Embora o resultado final seja consolidado apenas após o último dia útil do expediente forense, o resultado apresenta a expectativa de conclusão da meta no final do ano.</w:t>
            </w:r>
          </w:p>
        </w:tc>
      </w:tr>
    </w:tbl>
    <w:p>
      <w:pPr>
        <w:sectPr>
          <w:headerReference w:type="default" r:id="rId27"/>
          <w:footerReference w:type="default" r:id="rId2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10</w:t>
            </w:r>
            <w:r>
              <w:rPr>
                <w:rFonts w:ascii="Calibri" w:hAnsi="Calibri"/>
                <w:sz w:val="18"/>
              </w:rPr>
              <w:t xml:space="preserve"> - Reduzir, até 31/12/2025, em 30%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40,02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33.806 mandados judiciais em atraso na Primeira Instância há mais de 30 (trinta) dias, o que corresponde a uma redução de 40,02% dos mandados judiciais em atraso em relação a dezembro de 2024 (56.524 mandados em atraso). É esperada uma redução de, pelo menos, 12% no ano. Embora a meta tenha sido alcançada no 1º semestre, é necessário manter o bom resultado até o final do ano. Visando o alcance da meta, a Gerência de Mandados (GEMAN) promoveu cooperações entre oficiais de justiça em comarcas que possuíam maior número de mandados judicias em atraso ou maior volume de mandados judiciais a serem cumpridos. No 1º semestre deste ano, ocorreram cooperações em: Paraguaçu, Itabirito, Sabará, Mariana e Águas Formosas. Não há previsão de cooperação para o 2º semestre, tendo em vista que está em análise a viabilidade de implantação de um projeto de cooperação permanente, em parceria com o sindicato (Sindojus). Adicionalmente, está sendo avaliada a possibilidade de envio de lembretes automáticos para as Centrais de Mandados, a partir do Painel de Mandados Distribuídos e Redistribuídos, sempre que, por exemplo, os mandados estiverem próximos ao vencimento ou atrasados. Além disso, foi instituído o projeto piloto “Cooperação de Oficiais de Justiça na Busca e Restrições de Bens – CBRB”. De acordo com a Portaria conjunta 1664/PR/2025, que institui o projeto piloto, a cooperação será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Referente a meta TJMG 141, o resultado apurado até 26/09/2025 foi de 65,64%. Analisando o resultado por região da Corregedoria, observa-se que: na 1ª Região houve a virtualização de 97,15% dos inquéritos policiais; na 2ª Região, 73,04%; na 3ª região, 53,05%; na 4ª região, 49,56%; na 5ª região, 55,94% e na 6ª região, 68,38%. Tendo em vista a suspensão parcial, até outubro de 2025, do fluxo estabelecido para o recolhimento dos inquéritos nas comarcas e delegacias de Minas Gerais, há um risco de não alcance da meta, pois parte dos inquéritos seriam virtualizados apenas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100 (cem)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146 para adequar o desafio da Instituição ao novo prazo, conforme elencado a seguir: “TJMG 146 - Reduzir, até 31/12/2025, em 10% (dez por cento) o estoque dos processos conclusos para sentença, decisão e despacho há mais de 120 (cento e vinte) dias na Justiça Comum e no JESP”. Considerando a nova perspectiva para a meta, em junho de 2025 apurou-se um montante de 28.835 processos conclusos para sentença, decisão e despacho na Primeira Instância, há mais de 120 dias sem motivo legal, o que corresponde a uma redução de 0,4% do estoque dos processos em relação a dezembro de 2024 (29.351 processos). É esperada uma redução de 10%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147</w:t>
            </w:r>
            <w:r>
              <w:rPr>
                <w:rFonts w:ascii="Calibri" w:hAnsi="Calibri"/>
                <w:sz w:val="18"/>
              </w:rPr>
              <w:t xml:space="preserve"> - Reduzir, até 31/12/2025, em 10% (dez por cento) o estoque dos processos paralisados sem motivo legal, há mais de 100 (cem)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maio de 2025, foi publicado o Provimento nº 193 de 15/05/2025, que dispõe sobre a fixação do prazo de 120 dias corridos como parâmetro para aferição de eventual morosidade do juízo, a ser observado em âmbito disciplinar e na atividade fiscalizatória da Corregedoria. Em decorrência disso, foi necessário alterar a meta TJMG 147 para adequar o desafio da Instituição ao novo prazo, conforme elencado a seguir: “TJMG 147 - Reduzir, até 31/12/2025, em 30% (trinta por cento) o estoque dos processos paralisados sem motivo legal, há mais de 120 (cento e vinte) dias, em secretaria na Justiça Comum e no JESP (excluídos os feitos do SEEU)”. Considerando a nova perspectiva para a meta, em junho de 2025 apurou-se um montante de 206.831 processos paralisados em secretaria na Primeira Instância há mais de 120 dias sem motivo legal, o que corresponde a um aumento de 5,7% do estoque dos processos em relação a dezembro de 2024 (195.632 processos). É esperada uma redução de 30% até o final de 2025.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tempo médio de tramitação dos feitos do acervo gerenciável, a partir da data de distribuição até a data da baixa, de 770 dias, o que corresponde a uma redução de 4% do tempo médio em relação a dezembro de 2024 (802 dias). Embora a meta tenha sido alcançada no 1º semestre, é necessário manter o bom resultado até o final do ano. Para viabilizar o alcance da referida meta, a DIRCOR-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149</w:t>
            </w:r>
            <w:r>
              <w:rPr>
                <w:rFonts w:ascii="Calibri" w:hAnsi="Calibri"/>
                <w:sz w:val="18"/>
              </w:rPr>
              <w:t xml:space="preserve"> - Reduzir, até 31/12/2025, 50% (cinquenta por cento) dos feitos em que tenha cadastrado réu falecido.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-36,3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junho de 2025, apurou-se um montante de 5.498 processos que possuem réu falecido, o que corresponde a um aumento de 36,3% dos feitos em relação a dezembro de 2024 (4.035 processos). É esperada uma redução de, pelo menos, 50% no ano. Anualmente, o Tribunal de Justiça de Minas Gerais (TJMG) solicita ao Tribunal Regional Eleitoral (TRE) a listagem de pessoas falecidas no período, para que seja avaliada a possibilidade de baixar os processos judiciais com falecimento do imputado como autor do fato (réus falecidos). A partir do recebimento da listagem do TRE, é esperado um aumento imediato no quantitativo de processos, mas, considerando a previsão de realização do esforço concentrado para baixa desses processos, pelas unidades judiciárias, entre outubro e novembro deste ano, estima-se que a meta seja alcançada. Destaca-se, ainda, que está sendo desenvolvido um robô que automatizará a identificação da certidão de óbito do réu falecido e o Cartório de Registro Civil (CRC) em que foi registrada, desonerando o juiz dessa atividade e otimizando os trâmites necessários ao encerramento do processo.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28 de agosto de 2025, foram homologadas 19 portarias instituindo o Desdobramento do Planejamento Estratégico nas seguintes Unidades Judiciárias: </w:t>
            </w:r>
          </w:p>
          <w:p>
            <w:pPr>
              <w:spacing w:before="0" w:after="0"/>
              <w:jc w:val="both"/>
            </w:pPr>
            <w:r>
              <w:rPr>
                <w:rFonts w:ascii="Calibri" w:hAnsi="Calibri"/>
                <w:sz w:val="20"/>
              </w:rPr>
              <w:t>•</w:t>
            </w:r>
            <w:r>
              <w:rPr>
                <w:rFonts w:ascii="Calibri" w:hAnsi="Calibri"/>
                <w:sz w:val="20"/>
              </w:rPr>
              <w:t xml:space="preserve"> Lavras - 2ª Vara Criminal, da Infância e Juventude e Execuções Fiscais (Fev/2025); </w:t>
            </w:r>
          </w:p>
          <w:p>
            <w:pPr>
              <w:spacing w:before="0" w:after="0"/>
              <w:jc w:val="both"/>
            </w:pPr>
            <w:r>
              <w:rPr>
                <w:rFonts w:ascii="Calibri" w:hAnsi="Calibri"/>
                <w:sz w:val="20"/>
              </w:rPr>
              <w:t>•</w:t>
            </w:r>
            <w:r>
              <w:rPr>
                <w:rFonts w:ascii="Calibri" w:hAnsi="Calibri"/>
                <w:sz w:val="20"/>
              </w:rPr>
              <w:t xml:space="preserve"> Governador Valadares - 2ª Vara Cível (Fev/2025) </w:t>
            </w:r>
          </w:p>
          <w:p>
            <w:pPr>
              <w:spacing w:before="0" w:after="0"/>
              <w:jc w:val="both"/>
            </w:pPr>
            <w:r>
              <w:rPr>
                <w:rFonts w:ascii="Calibri" w:hAnsi="Calibri"/>
                <w:sz w:val="20"/>
              </w:rPr>
              <w:t>•</w:t>
            </w:r>
            <w:r>
              <w:rPr>
                <w:rFonts w:ascii="Calibri" w:hAnsi="Calibri"/>
                <w:sz w:val="20"/>
              </w:rPr>
              <w:t xml:space="preserve"> Araxá -2ª Vara Cível (março/2025) </w:t>
            </w:r>
          </w:p>
          <w:p>
            <w:pPr>
              <w:spacing w:before="0" w:after="0"/>
              <w:jc w:val="both"/>
            </w:pPr>
            <w:r>
              <w:rPr>
                <w:rFonts w:ascii="Calibri" w:hAnsi="Calibri"/>
                <w:sz w:val="20"/>
              </w:rPr>
              <w:t>•</w:t>
            </w:r>
            <w:r>
              <w:rPr>
                <w:rFonts w:ascii="Calibri" w:hAnsi="Calibri"/>
                <w:sz w:val="20"/>
              </w:rPr>
              <w:t xml:space="preserve"> Araxá - 2ª Vara Criminal e da Infancia e Juventude (março/2025) </w:t>
            </w:r>
          </w:p>
          <w:p>
            <w:pPr>
              <w:spacing w:before="0" w:after="0"/>
              <w:jc w:val="both"/>
            </w:pPr>
            <w:r>
              <w:rPr>
                <w:rFonts w:ascii="Calibri" w:hAnsi="Calibri"/>
                <w:sz w:val="20"/>
              </w:rPr>
              <w:t>•</w:t>
            </w:r>
            <w:r>
              <w:rPr>
                <w:rFonts w:ascii="Calibri" w:hAnsi="Calibri"/>
                <w:sz w:val="20"/>
              </w:rPr>
              <w:t xml:space="preserve"> Ipatinga - 2ª Vara Cível (março/2025) </w:t>
            </w:r>
          </w:p>
          <w:p>
            <w:pPr>
              <w:spacing w:before="0" w:after="0"/>
              <w:jc w:val="both"/>
            </w:pPr>
            <w:r>
              <w:rPr>
                <w:rFonts w:ascii="Calibri" w:hAnsi="Calibri"/>
                <w:sz w:val="20"/>
              </w:rPr>
              <w:t>•</w:t>
            </w:r>
            <w:r>
              <w:rPr>
                <w:rFonts w:ascii="Calibri" w:hAnsi="Calibri"/>
                <w:sz w:val="20"/>
              </w:rPr>
              <w:t xml:space="preserve"> Nova Lima - 2ª Vara Criminal e de Execuções Penais (março/2025) </w:t>
            </w:r>
          </w:p>
          <w:p>
            <w:pPr>
              <w:spacing w:before="0" w:after="0"/>
              <w:jc w:val="both"/>
            </w:pPr>
            <w:r>
              <w:rPr>
                <w:rFonts w:ascii="Calibri" w:hAnsi="Calibri"/>
                <w:sz w:val="20"/>
              </w:rPr>
              <w:t>•</w:t>
            </w:r>
            <w:r>
              <w:rPr>
                <w:rFonts w:ascii="Calibri" w:hAnsi="Calibri"/>
                <w:sz w:val="20"/>
              </w:rPr>
              <w:t xml:space="preserve"> Pirapetinga - Vara Única (abril/2025) </w:t>
            </w:r>
          </w:p>
          <w:p>
            <w:pPr>
              <w:spacing w:before="0" w:after="0"/>
              <w:jc w:val="both"/>
            </w:pPr>
            <w:r>
              <w:rPr>
                <w:rFonts w:ascii="Calibri" w:hAnsi="Calibri"/>
                <w:sz w:val="20"/>
              </w:rPr>
              <w:t>•</w:t>
            </w:r>
            <w:r>
              <w:rPr>
                <w:rFonts w:ascii="Calibri" w:hAnsi="Calibri"/>
                <w:sz w:val="20"/>
              </w:rPr>
              <w:t xml:space="preserve"> Extrema - 2ª Vara Civel, Criminal e da Juventudade (abril/2025) </w:t>
            </w:r>
          </w:p>
          <w:p>
            <w:pPr>
              <w:spacing w:before="0" w:after="0"/>
              <w:jc w:val="both"/>
            </w:pPr>
            <w:r>
              <w:rPr>
                <w:rFonts w:ascii="Calibri" w:hAnsi="Calibri"/>
                <w:sz w:val="20"/>
              </w:rPr>
              <w:t>•</w:t>
            </w:r>
            <w:r>
              <w:rPr>
                <w:rFonts w:ascii="Calibri" w:hAnsi="Calibri"/>
                <w:sz w:val="20"/>
              </w:rPr>
              <w:t xml:space="preserve"> Ipatinga - 2ª Vara Criminal (maio/2025) </w:t>
            </w:r>
          </w:p>
          <w:p>
            <w:pPr>
              <w:spacing w:before="0" w:after="0"/>
              <w:jc w:val="both"/>
            </w:pPr>
            <w:r>
              <w:rPr>
                <w:rFonts w:ascii="Calibri" w:hAnsi="Calibri"/>
                <w:sz w:val="20"/>
              </w:rPr>
              <w:t>•</w:t>
            </w:r>
            <w:r>
              <w:rPr>
                <w:rFonts w:ascii="Calibri" w:hAnsi="Calibri"/>
                <w:sz w:val="20"/>
              </w:rPr>
              <w:t xml:space="preserve"> Corinto - Vara Única (Segundo Ciclo de DPE) (maio/2025) </w:t>
            </w:r>
          </w:p>
          <w:p>
            <w:pPr>
              <w:spacing w:before="0" w:after="0"/>
              <w:jc w:val="both"/>
            </w:pPr>
            <w:r>
              <w:rPr>
                <w:rFonts w:ascii="Calibri" w:hAnsi="Calibri"/>
                <w:sz w:val="20"/>
              </w:rPr>
              <w:t>•</w:t>
            </w:r>
            <w:r>
              <w:rPr>
                <w:rFonts w:ascii="Calibri" w:hAnsi="Calibri"/>
                <w:sz w:val="20"/>
              </w:rPr>
              <w:t xml:space="preserve"> Catagueses - Vara de Família, da Infância e da Juventude e de Precatórias (junho/2025) </w:t>
            </w:r>
          </w:p>
          <w:p>
            <w:pPr>
              <w:spacing w:before="0" w:after="0"/>
              <w:jc w:val="both"/>
            </w:pPr>
            <w:r>
              <w:rPr>
                <w:rFonts w:ascii="Calibri" w:hAnsi="Calibri"/>
                <w:sz w:val="20"/>
              </w:rPr>
              <w:t>•</w:t>
            </w:r>
            <w:r>
              <w:rPr>
                <w:rFonts w:ascii="Calibri" w:hAnsi="Calibri"/>
                <w:sz w:val="20"/>
              </w:rPr>
              <w:t xml:space="preserve"> Contagem - 6ª Vara Cível (Segundo Ciclo de DPE) (junho/2025) </w:t>
            </w:r>
          </w:p>
          <w:p>
            <w:pPr>
              <w:spacing w:before="0" w:after="0"/>
              <w:jc w:val="both"/>
            </w:pPr>
            <w:r>
              <w:rPr>
                <w:rFonts w:ascii="Calibri" w:hAnsi="Calibri"/>
                <w:sz w:val="20"/>
              </w:rPr>
              <w:t>•</w:t>
            </w:r>
            <w:r>
              <w:rPr>
                <w:rFonts w:ascii="Calibri" w:hAnsi="Calibri"/>
                <w:sz w:val="20"/>
              </w:rPr>
              <w:t xml:space="preserve"> Pedra Azul - 1ª Vara Cível, Criminal e de Execuções Penais (junho/2025) </w:t>
            </w:r>
          </w:p>
          <w:p>
            <w:pPr>
              <w:spacing w:before="0" w:after="0"/>
              <w:jc w:val="both"/>
            </w:pPr>
            <w:r>
              <w:rPr>
                <w:rFonts w:ascii="Calibri" w:hAnsi="Calibri"/>
                <w:sz w:val="20"/>
              </w:rPr>
              <w:t>•</w:t>
            </w:r>
            <w:r>
              <w:rPr>
                <w:rFonts w:ascii="Calibri" w:hAnsi="Calibri"/>
                <w:sz w:val="20"/>
              </w:rPr>
              <w:t xml:space="preserve"> Patos de Minas - 3ª Vara Cível (julho/2025) </w:t>
            </w:r>
          </w:p>
          <w:p>
            <w:pPr>
              <w:spacing w:before="0" w:after="0"/>
              <w:jc w:val="both"/>
            </w:pPr>
            <w:r>
              <w:rPr>
                <w:rFonts w:ascii="Calibri" w:hAnsi="Calibri"/>
                <w:sz w:val="20"/>
              </w:rPr>
              <w:t>•</w:t>
            </w:r>
            <w:r>
              <w:rPr>
                <w:rFonts w:ascii="Calibri" w:hAnsi="Calibri"/>
                <w:sz w:val="20"/>
              </w:rPr>
              <w:t xml:space="preserve"> Ubá - 2ª Vara Cível (julho/2025) </w:t>
            </w:r>
          </w:p>
          <w:p>
            <w:pPr>
              <w:spacing w:before="0" w:after="0"/>
              <w:jc w:val="both"/>
            </w:pPr>
            <w:r>
              <w:rPr>
                <w:rFonts w:ascii="Calibri" w:hAnsi="Calibri"/>
                <w:sz w:val="20"/>
              </w:rPr>
              <w:t>•</w:t>
            </w:r>
            <w:r>
              <w:rPr>
                <w:rFonts w:ascii="Calibri" w:hAnsi="Calibri"/>
                <w:sz w:val="20"/>
              </w:rPr>
              <w:t xml:space="preserve"> Belo Horizonte - 12ª Vara de Família (agosto/2025) </w:t>
            </w:r>
          </w:p>
          <w:p>
            <w:pPr>
              <w:spacing w:before="0" w:after="0"/>
              <w:jc w:val="both"/>
            </w:pPr>
            <w:r>
              <w:rPr>
                <w:rFonts w:ascii="Calibri" w:hAnsi="Calibri"/>
                <w:sz w:val="20"/>
              </w:rPr>
              <w:t>•</w:t>
            </w:r>
            <w:r>
              <w:rPr>
                <w:rFonts w:ascii="Calibri" w:hAnsi="Calibri"/>
                <w:sz w:val="20"/>
              </w:rPr>
              <w:t xml:space="preserve"> Jequitinhonha -Vara Única (Segundo Ciclo de DPE) (agosto/2025) </w:t>
            </w:r>
          </w:p>
          <w:p>
            <w:pPr>
              <w:spacing w:before="0" w:after="0"/>
              <w:jc w:val="both"/>
            </w:pPr>
            <w:r>
              <w:rPr>
                <w:rFonts w:ascii="Calibri" w:hAnsi="Calibri"/>
                <w:sz w:val="20"/>
              </w:rPr>
              <w:t>•</w:t>
            </w:r>
            <w:r>
              <w:rPr>
                <w:rFonts w:ascii="Calibri" w:hAnsi="Calibri"/>
                <w:sz w:val="20"/>
              </w:rPr>
              <w:t xml:space="preserve"> Mar de Espanha - Vara Única (agosto/2025) </w:t>
            </w:r>
          </w:p>
          <w:p>
            <w:pPr>
              <w:spacing w:before="0" w:after="0"/>
              <w:jc w:val="both"/>
            </w:pPr>
            <w:r>
              <w:rPr>
                <w:rFonts w:ascii="Calibri" w:hAnsi="Calibri"/>
                <w:sz w:val="20"/>
              </w:rPr>
              <w:t>•</w:t>
            </w:r>
            <w:r>
              <w:rPr>
                <w:rFonts w:ascii="Calibri" w:hAnsi="Calibri"/>
                <w:sz w:val="20"/>
              </w:rPr>
              <w:t xml:space="preserve"> Monte Santo de Minas - Vara Única (agosto/2025)</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junho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Inicialmente, o projeto previa a disponibilização de um painel para a Gestão Automatizada de Receitas Judiciais para a Comarca de Belo Horizonte e para o interior, focando em processos ativos, até junho de 2025. Com o desenvolvimento do projeto, bem como em decorrência da reunião realizada com o presidente do TJMG e o corregedor, foram identificadas novas oportunidades para o referido painel, o que resultou tanto no aumento do escopo das fases 1 e 2, contemplando novas funcionalidades, quanto na inclusão da 3ª fase, afeta a processos baixados. Com isso, houve a inclusão de 4 novas entregas no escopo do projeto, afetas à 3ª fase do projeto: Desenvolvimento do protótipo do painel com dados dos processos baixados do PJe; Integração com o sistema eproc; Realização de estudo sobre o uso de Inteligência Artificial; Realização de estudo sobre a integração com o SISCOM. Consequentemente, a meta também sofreu alteração. O projeto não será mais concluído até junho de 2025 e sim até dezembro de 2025. Dessa forma, foi proposta a alteração da meta para: TJMG 129 - Executar 100% do projeto de Painel de Gestão Automatizada de Receitas Judiciais até dezembro de 2025. Considerando esse novo cenário, verifica-se que até setembro de 2025 foram executados 57,4% das atividades previstas. Entre as entregas realizadas, destaca-se que o painel já está em uso na Comarca de Belo Horizonte, subsidiando os setores de contabilidade e a Central de Custas. Além disso, foi disponibilizada a 1ª versão da 2ª etapa do Painel para Contadorias Específicas do Interior (versão com dados das comarcas do interior e do Módulo Cartas Precatórias).</w:t>
            </w:r>
          </w:p>
        </w:tc>
      </w:tr>
    </w:tbl>
    <w:sectPr w:rsidR="00FC693F" w:rsidRPr="0006063C" w:rsidSect="00034616">
      <w:headerReference w:type="default" r:id="rId29"/>
      <w:footerReference w:type="default" r:id="rId30"/>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left"/>
    </w:pPr>
    <w:r>
      <w:rPr>
        <w:rFonts w:ascii="Calibri" w:hAnsi="Calibri"/>
        <w:sz w:val="18"/>
      </w:rPr>
      <w:t>Assessoria Técnica e Jurídica ao Planejamento e à Gestão Institucional - ASPLAG</w:t>
    </w:r>
  </w:p>
  <w:p>
    <w:pPr>
      <w:jc w:val="left"/>
    </w:pPr>
    <w:r>
      <w:rPr>
        <w:rFonts w:ascii="Calibri" w:hAnsi="Calibri"/>
        <w:sz w:val="18"/>
      </w:rPr>
      <w:t>Diretoria Executiva de Planejamento Orçamentário e Qualidade na Gestão Institucional - DEPLAG</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