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2EF" w:rsidRDefault="004E32EF">
      <w:pPr>
        <w:spacing w:after="120" w:line="360" w:lineRule="auto"/>
        <w:jc w:val="both"/>
        <w:rPr>
          <w:rFonts w:ascii="Arial" w:hAnsi="Arial"/>
          <w:b/>
          <w:color w:val="E36C0A"/>
          <w:sz w:val="28"/>
          <w:lang w:val="pt-BR"/>
        </w:rPr>
      </w:pPr>
      <w:r w:rsidRPr="004E32EF">
        <w:rPr>
          <w:rFonts w:ascii="Arial" w:hAnsi="Arial"/>
          <w:b/>
          <w:color w:val="E36C0A"/>
          <w:sz w:val="28"/>
          <w:lang w:val="pt-BR"/>
        </w:rPr>
        <w:t>1</w:t>
      </w:r>
      <w:r>
        <w:rPr>
          <w:rFonts w:ascii="Arial" w:hAnsi="Arial"/>
          <w:b/>
          <w:color w:val="E36C0A"/>
          <w:sz w:val="28"/>
          <w:lang w:val="pt-BR"/>
        </w:rPr>
        <w:t xml:space="preserve">. </w:t>
      </w:r>
      <w:r w:rsidRPr="004E32EF">
        <w:rPr>
          <w:rFonts w:ascii="Arial" w:hAnsi="Arial"/>
          <w:b/>
          <w:color w:val="E36C0A"/>
          <w:sz w:val="28"/>
          <w:lang w:val="pt-BR"/>
        </w:rPr>
        <w:t>INTRODUÇÃO</w:t>
      </w:r>
    </w:p>
    <w:p w:rsidR="004E32EF" w:rsidRPr="00E9117E" w:rsidRDefault="004E32EF" w:rsidP="004E32EF">
      <w:pPr>
        <w:pStyle w:val="textojustificadorecuoprimeiralinha"/>
        <w:spacing w:before="200" w:beforeAutospacing="0" w:after="200" w:afterAutospacing="0" w:line="360" w:lineRule="auto"/>
        <w:ind w:firstLine="720"/>
        <w:jc w:val="both"/>
        <w:rPr>
          <w:rFonts w:asciiTheme="majorHAnsi" w:hAnsiTheme="majorHAnsi" w:cstheme="majorHAnsi"/>
        </w:rPr>
      </w:pPr>
      <w:r w:rsidRPr="00E9117E">
        <w:rPr>
          <w:rFonts w:asciiTheme="majorHAnsi" w:hAnsiTheme="majorHAnsi" w:cstheme="majorHAnsi"/>
        </w:rPr>
        <w:t xml:space="preserve">O Comitê de Governança e Gestão Estratégica aprovou </w:t>
      </w:r>
      <w:r>
        <w:rPr>
          <w:rFonts w:asciiTheme="majorHAnsi" w:hAnsiTheme="majorHAnsi" w:cstheme="majorHAnsi"/>
        </w:rPr>
        <w:t xml:space="preserve">a </w:t>
      </w:r>
      <w:r w:rsidRPr="00E9117E">
        <w:rPr>
          <w:rFonts w:asciiTheme="majorHAnsi" w:hAnsiTheme="majorHAnsi" w:cstheme="majorHAnsi"/>
        </w:rPr>
        <w:t xml:space="preserve">atualização do </w:t>
      </w:r>
      <w:r w:rsidR="00E0055D">
        <w:rPr>
          <w:rFonts w:asciiTheme="majorHAnsi" w:hAnsiTheme="majorHAnsi" w:cstheme="majorHAnsi"/>
        </w:rPr>
        <w:t>**</w:t>
      </w:r>
      <w:r w:rsidRPr="00E9117E">
        <w:rPr>
          <w:rFonts w:asciiTheme="majorHAnsi" w:hAnsiTheme="majorHAnsi" w:cstheme="majorHAnsi"/>
          <w:b/>
          <w:bCs/>
        </w:rPr>
        <w:t>Painel Estratégico e o Quadro de Iniciativas do ano de 2024, componentes do Planejamento Estratégico Institucional</w:t>
      </w:r>
      <w:r w:rsidR="00E0055D">
        <w:rPr>
          <w:rFonts w:asciiTheme="majorHAnsi" w:hAnsiTheme="majorHAnsi" w:cstheme="majorHAnsi"/>
          <w:b/>
          <w:bCs/>
        </w:rPr>
        <w:t>**</w:t>
      </w:r>
      <w:r w:rsidRPr="00E9117E">
        <w:rPr>
          <w:rFonts w:asciiTheme="majorHAnsi" w:hAnsiTheme="majorHAnsi" w:cstheme="majorHAnsi"/>
          <w:b/>
          <w:bCs/>
        </w:rPr>
        <w:t>,</w:t>
      </w:r>
      <w:r w:rsidRPr="00E9117E">
        <w:rPr>
          <w:rFonts w:asciiTheme="majorHAnsi" w:hAnsiTheme="majorHAnsi" w:cstheme="majorHAnsi"/>
        </w:rPr>
        <w:t xml:space="preserve"> </w:t>
      </w:r>
      <w:r w:rsidRPr="00E9117E">
        <w:rPr>
          <w:rFonts w:asciiTheme="majorHAnsi" w:hAnsiTheme="majorHAnsi" w:cstheme="majorHAnsi"/>
          <w:bCs/>
        </w:rPr>
        <w:t xml:space="preserve">durante as Reuniões de Análise da Estratégia – RAE, realizadas nos dias 15 de abril </w:t>
      </w:r>
      <w:r>
        <w:rPr>
          <w:rFonts w:asciiTheme="majorHAnsi" w:hAnsiTheme="majorHAnsi" w:cstheme="majorHAnsi"/>
          <w:bCs/>
        </w:rPr>
        <w:t>e 20 de outubro</w:t>
      </w:r>
      <w:r w:rsidRPr="00E9117E">
        <w:rPr>
          <w:rFonts w:asciiTheme="majorHAnsi" w:hAnsiTheme="majorHAnsi" w:cstheme="majorHAnsi"/>
          <w:bCs/>
        </w:rPr>
        <w:t xml:space="preserve"> de 2024</w:t>
      </w:r>
      <w:r w:rsidRPr="00E9117E">
        <w:rPr>
          <w:rFonts w:asciiTheme="majorHAnsi" w:hAnsiTheme="majorHAnsi" w:cstheme="majorHAnsi"/>
        </w:rPr>
        <w:t xml:space="preserve">. </w:t>
      </w:r>
    </w:p>
    <w:p w:rsidR="004E32EF" w:rsidRPr="004E32EF" w:rsidRDefault="004E32EF" w:rsidP="004E32EF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720"/>
        <w:jc w:val="both"/>
        <w:rPr>
          <w:rFonts w:asciiTheme="majorHAnsi" w:hAnsiTheme="majorHAnsi" w:cstheme="majorHAnsi"/>
          <w:bCs/>
          <w:sz w:val="24"/>
          <w:lang w:val="pt-BR"/>
        </w:rPr>
      </w:pPr>
      <w:r w:rsidRPr="004E32EF">
        <w:rPr>
          <w:rFonts w:asciiTheme="majorHAnsi" w:hAnsiTheme="majorHAnsi" w:cstheme="majorHAnsi"/>
          <w:bCs/>
          <w:sz w:val="24"/>
          <w:lang w:val="pt-BR"/>
        </w:rPr>
        <w:t xml:space="preserve">Variáveis como as mudanças impostas pelo cenário econômico financeiro, a definição de novas diretrizes pela alta administração e o surgimento de tecnologias inovadoras, dentre outras, exigiram revisões e alterações nos componentes do Planejamento Estratégico do TJMG ao longo do ano. </w:t>
      </w:r>
    </w:p>
    <w:p w:rsidR="004E32EF" w:rsidRDefault="004E32EF" w:rsidP="004E32EF">
      <w:pPr>
        <w:pStyle w:val="textojustificadorecuoprimeiralinha"/>
        <w:spacing w:before="200" w:beforeAutospacing="0" w:after="200" w:afterAutospacing="0" w:line="360" w:lineRule="auto"/>
        <w:ind w:firstLine="720"/>
        <w:jc w:val="both"/>
        <w:rPr>
          <w:rFonts w:asciiTheme="majorHAnsi" w:hAnsiTheme="majorHAnsi" w:cstheme="majorHAnsi"/>
        </w:rPr>
      </w:pPr>
      <w:r w:rsidRPr="00E9117E">
        <w:rPr>
          <w:rFonts w:asciiTheme="majorHAnsi" w:hAnsiTheme="majorHAnsi" w:cstheme="majorHAnsi"/>
        </w:rPr>
        <w:t xml:space="preserve">Diante da deliberação do referido Comitê, foi publicada e atualizada a </w:t>
      </w:r>
      <w:r w:rsidR="00E0055D">
        <w:rPr>
          <w:rFonts w:asciiTheme="majorHAnsi" w:hAnsiTheme="majorHAnsi" w:cstheme="majorHAnsi"/>
        </w:rPr>
        <w:t>**</w:t>
      </w:r>
      <w:r w:rsidRPr="00E9117E">
        <w:rPr>
          <w:rFonts w:asciiTheme="majorHAnsi" w:hAnsiTheme="majorHAnsi" w:cstheme="majorHAnsi"/>
          <w:b/>
        </w:rPr>
        <w:t>Portaria Conjunta 1.550/2024</w:t>
      </w:r>
      <w:r w:rsidR="00E0055D">
        <w:rPr>
          <w:rFonts w:asciiTheme="majorHAnsi" w:hAnsiTheme="majorHAnsi" w:cstheme="majorHAnsi"/>
          <w:b/>
        </w:rPr>
        <w:t>**</w:t>
      </w:r>
      <w:r w:rsidRPr="00E9117E">
        <w:rPr>
          <w:rFonts w:asciiTheme="majorHAnsi" w:hAnsiTheme="majorHAnsi" w:cstheme="majorHAnsi"/>
        </w:rPr>
        <w:t xml:space="preserve">, em observância ao art. 7º da Resolução 952/2020, que disciplina o Painel Estratégico e o Quadro de </w:t>
      </w:r>
      <w:r w:rsidRPr="004E32EF">
        <w:rPr>
          <w:rFonts w:asciiTheme="majorHAnsi" w:hAnsiTheme="majorHAnsi" w:cstheme="majorHAnsi"/>
          <w:u w:val="single"/>
        </w:rPr>
        <w:t>Iniciativas</w:t>
      </w:r>
      <w:r w:rsidRPr="00E9117E">
        <w:rPr>
          <w:rFonts w:asciiTheme="majorHAnsi" w:hAnsiTheme="majorHAnsi" w:cstheme="majorHAnsi"/>
        </w:rPr>
        <w:t xml:space="preserve"> do ano 2024, </w:t>
      </w:r>
      <w:r w:rsidR="00E0055D">
        <w:rPr>
          <w:rFonts w:asciiTheme="majorHAnsi" w:hAnsiTheme="majorHAnsi" w:cstheme="majorHAnsi"/>
        </w:rPr>
        <w:t>**</w:t>
      </w:r>
      <w:r w:rsidRPr="007A3E57">
        <w:rPr>
          <w:rFonts w:asciiTheme="majorHAnsi" w:hAnsiTheme="majorHAnsi" w:cstheme="majorHAnsi"/>
          <w:b/>
          <w:bCs/>
        </w:rPr>
        <w:t>priorizando</w:t>
      </w:r>
      <w:r w:rsidRPr="00E9117E">
        <w:rPr>
          <w:rFonts w:asciiTheme="majorHAnsi" w:hAnsiTheme="majorHAnsi" w:cstheme="majorHAnsi"/>
        </w:rPr>
        <w:t xml:space="preserve"> </w:t>
      </w:r>
      <w:r w:rsidRPr="00E9117E">
        <w:rPr>
          <w:rFonts w:asciiTheme="majorHAnsi" w:hAnsiTheme="majorHAnsi" w:cstheme="majorHAnsi"/>
          <w:b/>
          <w:bCs/>
        </w:rPr>
        <w:t>83 metas e 58 iniciativas</w:t>
      </w:r>
      <w:r w:rsidR="00E0055D">
        <w:rPr>
          <w:rFonts w:asciiTheme="majorHAnsi" w:hAnsiTheme="majorHAnsi" w:cstheme="majorHAnsi"/>
          <w:b/>
          <w:bCs/>
        </w:rPr>
        <w:t>**</w:t>
      </w:r>
      <w:r w:rsidRPr="00E9117E">
        <w:rPr>
          <w:rFonts w:asciiTheme="majorHAnsi" w:hAnsiTheme="majorHAnsi" w:cstheme="majorHAnsi"/>
          <w:bCs/>
        </w:rPr>
        <w:t xml:space="preserve"> para comporem os referidos componentes,</w:t>
      </w:r>
      <w:r w:rsidRPr="00E9117E">
        <w:rPr>
          <w:rFonts w:asciiTheme="majorHAnsi" w:hAnsiTheme="majorHAnsi" w:cstheme="majorHAnsi"/>
          <w:b/>
          <w:bCs/>
        </w:rPr>
        <w:t xml:space="preserve"> </w:t>
      </w:r>
      <w:r w:rsidRPr="00E9117E">
        <w:rPr>
          <w:rFonts w:asciiTheme="majorHAnsi" w:hAnsiTheme="majorHAnsi" w:cstheme="majorHAnsi"/>
          <w:bCs/>
        </w:rPr>
        <w:t>as quais foram monitoradas pela Assessoria Técnica e Jurídica ao Planejamento e à Gestão Institucional – ASPLAG/DEPLAG.</w:t>
      </w:r>
      <w:r w:rsidRPr="00E9117E">
        <w:rPr>
          <w:rFonts w:asciiTheme="majorHAnsi" w:hAnsiTheme="majorHAnsi" w:cstheme="majorHAnsi"/>
        </w:rPr>
        <w:t xml:space="preserve"> </w:t>
      </w:r>
    </w:p>
    <w:p w:rsidR="004E32EF" w:rsidRPr="00E05083" w:rsidRDefault="004E32EF" w:rsidP="004E32EF">
      <w:pPr>
        <w:pStyle w:val="textojustificadorecuoprimeiralinha"/>
        <w:spacing w:before="200" w:beforeAutospacing="0" w:after="200" w:afterAutospacing="0" w:line="360" w:lineRule="auto"/>
        <w:ind w:firstLine="720"/>
        <w:jc w:val="both"/>
        <w:rPr>
          <w:rFonts w:asciiTheme="majorHAnsi" w:hAnsiTheme="majorHAnsi" w:cstheme="majorHAnsi"/>
        </w:rPr>
      </w:pPr>
      <w:r>
        <w:tab/>
      </w:r>
      <w:r w:rsidRPr="00E9117E">
        <w:rPr>
          <w:rFonts w:asciiTheme="majorHAnsi" w:hAnsiTheme="majorHAnsi" w:cstheme="majorHAnsi"/>
          <w:bCs/>
        </w:rPr>
        <w:t xml:space="preserve">Esse acompanhamento visa cumprir o artigo 10 da Resolução nº 952/2020 que determina o monitoramento e a avaliação do Planejamento Estratégico, por meio do levantamento e análise de resultados dos indicadores, das metas nacionais e institucionais e pelo controle dos cronogramas das iniciativas estratégicas. </w:t>
      </w:r>
    </w:p>
    <w:p w:rsidR="00CE7605" w:rsidRDefault="004E32EF" w:rsidP="00CE7605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720"/>
        <w:jc w:val="both"/>
        <w:rPr>
          <w:rFonts w:asciiTheme="majorHAnsi" w:hAnsiTheme="majorHAnsi" w:cstheme="majorHAnsi"/>
          <w:bCs/>
          <w:sz w:val="24"/>
          <w:lang w:val="pt-BR"/>
        </w:rPr>
      </w:pPr>
      <w:r w:rsidRPr="004E32EF">
        <w:rPr>
          <w:rFonts w:asciiTheme="majorHAnsi" w:hAnsiTheme="majorHAnsi" w:cstheme="majorHAnsi"/>
          <w:bCs/>
          <w:sz w:val="24"/>
          <w:lang w:val="pt-BR"/>
        </w:rPr>
        <w:t>O monitoramento sistemático é crucial para verificar o alcance ou não das metas e os respectivos resultados que decorrem da execução das ações contidas nas iniciativas priorizadas.  Nessa verificação, é possível identificar a necessidade ou não de se promover ações corretivas, com foco na melhoria dos resultados e, consequentemente, no alcance das metas estabelecidas.</w:t>
      </w:r>
      <w:r w:rsidR="00F4007E">
        <w:rPr>
          <w:rFonts w:asciiTheme="majorHAnsi" w:hAnsiTheme="majorHAnsi" w:cstheme="majorHAnsi"/>
          <w:bCs/>
          <w:sz w:val="24"/>
          <w:lang w:val="pt-BR"/>
        </w:rPr>
        <w:t xml:space="preserve"> </w:t>
      </w:r>
    </w:p>
    <w:p w:rsidR="00F4007E" w:rsidRPr="004E32EF" w:rsidRDefault="00F4007E" w:rsidP="00CE7605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rFonts w:asciiTheme="majorHAnsi" w:hAnsiTheme="majorHAnsi" w:cstheme="majorHAnsi"/>
          <w:bCs/>
          <w:sz w:val="24"/>
          <w:lang w:val="pt-BR"/>
        </w:rPr>
      </w:pPr>
      <w:r w:rsidRPr="00F4007E">
        <w:rPr>
          <w:rFonts w:asciiTheme="majorHAnsi" w:hAnsiTheme="majorHAnsi" w:cstheme="majorHAnsi"/>
          <w:bCs/>
          <w:sz w:val="24"/>
          <w:lang w:val="pt-BR"/>
        </w:rPr>
        <w:t>[QUEBRA_PAGINA]</w:t>
      </w:r>
    </w:p>
    <w:p w:rsidR="004E32EF" w:rsidRPr="004E32EF" w:rsidRDefault="004E32EF" w:rsidP="004E32EF">
      <w:pPr>
        <w:spacing w:after="120" w:line="360" w:lineRule="auto"/>
        <w:jc w:val="both"/>
        <w:rPr>
          <w:rFonts w:ascii="Arial" w:hAnsi="Arial"/>
          <w:b/>
          <w:color w:val="E36C0A"/>
          <w:sz w:val="28"/>
          <w:lang w:val="pt-BR"/>
        </w:rPr>
      </w:pPr>
      <w:bookmarkStart w:id="0" w:name="_Toc196205967"/>
      <w:r w:rsidRPr="004E32EF">
        <w:rPr>
          <w:rFonts w:ascii="Arial" w:hAnsi="Arial"/>
          <w:b/>
          <w:noProof/>
          <w:color w:val="E36C0A"/>
          <w:sz w:val="28"/>
          <w:lang w:val="pt-BR"/>
        </w:rPr>
        <w:drawing>
          <wp:anchor distT="114300" distB="114300" distL="114300" distR="114300" simplePos="0" relativeHeight="251657216" behindDoc="0" locked="0" layoutInCell="1" hidden="0" allowOverlap="1" wp14:anchorId="458D2AAE" wp14:editId="53AB236F">
            <wp:simplePos x="0" y="0"/>
            <wp:positionH relativeFrom="page">
              <wp:posOffset>0</wp:posOffset>
            </wp:positionH>
            <wp:positionV relativeFrom="page">
              <wp:posOffset>10776815</wp:posOffset>
            </wp:positionV>
            <wp:extent cx="7577138" cy="10706825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7138" cy="1070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E32EF">
        <w:rPr>
          <w:rFonts w:ascii="Arial" w:hAnsi="Arial"/>
          <w:b/>
          <w:noProof/>
          <w:color w:val="E36C0A"/>
          <w:sz w:val="28"/>
          <w:lang w:val="pt-BR"/>
        </w:rPr>
        <w:drawing>
          <wp:anchor distT="114300" distB="114300" distL="114300" distR="114300" simplePos="0" relativeHeight="251661312" behindDoc="0" locked="0" layoutInCell="1" hidden="0" allowOverlap="1" wp14:anchorId="677B4B70" wp14:editId="0009FA08">
            <wp:simplePos x="0" y="0"/>
            <wp:positionH relativeFrom="page">
              <wp:posOffset>0</wp:posOffset>
            </wp:positionH>
            <wp:positionV relativeFrom="page">
              <wp:posOffset>10776815</wp:posOffset>
            </wp:positionV>
            <wp:extent cx="7577138" cy="10706825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7138" cy="1070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E32EF">
        <w:rPr>
          <w:rFonts w:ascii="Arial" w:hAnsi="Arial"/>
          <w:b/>
          <w:color w:val="E36C0A"/>
          <w:sz w:val="28"/>
          <w:lang w:val="pt-BR"/>
        </w:rPr>
        <w:t>2. OBJETIVO DO RELATÓRIO</w:t>
      </w:r>
      <w:bookmarkEnd w:id="0"/>
    </w:p>
    <w:p w:rsidR="004E32EF" w:rsidRPr="004E32EF" w:rsidRDefault="004E32EF" w:rsidP="004E32EF">
      <w:pPr>
        <w:pStyle w:val="PargrafodaLista"/>
        <w:spacing w:before="200" w:line="360" w:lineRule="auto"/>
        <w:ind w:left="0" w:firstLine="72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4E32EF">
        <w:rPr>
          <w:rFonts w:ascii="Arial" w:hAnsi="Arial"/>
          <w:color w:val="0000FF"/>
          <w:lang w:val="pt-BR"/>
        </w:rPr>
        <w:lastRenderedPageBreak/>
        <w:t xml:space="preserve"> </w:t>
      </w:r>
      <w:r w:rsidRPr="004E32EF">
        <w:rPr>
          <w:rFonts w:asciiTheme="majorHAnsi" w:hAnsiTheme="majorHAnsi" w:cstheme="majorHAnsi"/>
          <w:sz w:val="24"/>
          <w:szCs w:val="24"/>
          <w:lang w:val="pt-BR"/>
        </w:rPr>
        <w:t xml:space="preserve">O objetivo deste relatório é </w:t>
      </w:r>
      <w:r w:rsidR="00E0055D">
        <w:rPr>
          <w:rFonts w:asciiTheme="majorHAnsi" w:hAnsiTheme="majorHAnsi" w:cstheme="majorHAnsi"/>
          <w:sz w:val="24"/>
          <w:szCs w:val="24"/>
          <w:lang w:val="pt-BR"/>
        </w:rPr>
        <w:t>**</w:t>
      </w:r>
      <w:r w:rsidRPr="004E32EF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apresentar os resultados </w:t>
      </w:r>
      <w:r w:rsidRPr="004E32EF">
        <w:rPr>
          <w:rFonts w:asciiTheme="majorHAnsi" w:hAnsiTheme="majorHAnsi" w:cstheme="majorHAnsi"/>
          <w:b/>
          <w:bCs/>
          <w:sz w:val="24"/>
          <w:lang w:val="pt-BR"/>
        </w:rPr>
        <w:t xml:space="preserve">das metas nacionais e institucionais estabelecidas </w:t>
      </w:r>
      <w:r w:rsidRPr="004E32EF">
        <w:rPr>
          <w:rFonts w:asciiTheme="majorHAnsi" w:hAnsiTheme="majorHAnsi" w:cstheme="majorHAnsi"/>
          <w:b/>
          <w:bCs/>
          <w:sz w:val="24"/>
          <w:szCs w:val="24"/>
          <w:lang w:val="pt-BR"/>
        </w:rPr>
        <w:t>para o ano 2024</w:t>
      </w:r>
      <w:r w:rsidR="00E0055D">
        <w:rPr>
          <w:rFonts w:asciiTheme="majorHAnsi" w:hAnsiTheme="majorHAnsi" w:cstheme="majorHAnsi"/>
          <w:b/>
          <w:bCs/>
          <w:sz w:val="24"/>
          <w:szCs w:val="24"/>
          <w:lang w:val="pt-BR"/>
        </w:rPr>
        <w:t>**</w:t>
      </w:r>
      <w:r w:rsidRPr="004E32EF">
        <w:rPr>
          <w:rFonts w:asciiTheme="majorHAnsi" w:hAnsiTheme="majorHAnsi" w:cstheme="majorHAnsi"/>
          <w:sz w:val="24"/>
          <w:szCs w:val="24"/>
          <w:lang w:val="pt-BR"/>
        </w:rPr>
        <w:t xml:space="preserve">, visando a superação dos </w:t>
      </w:r>
      <w:proofErr w:type="spellStart"/>
      <w:r w:rsidRPr="004E32EF">
        <w:rPr>
          <w:rFonts w:asciiTheme="majorHAnsi" w:hAnsiTheme="majorHAnsi" w:cstheme="majorHAnsi"/>
          <w:sz w:val="24"/>
          <w:szCs w:val="24"/>
          <w:lang w:val="pt-BR"/>
        </w:rPr>
        <w:t>macrodesafios</w:t>
      </w:r>
      <w:proofErr w:type="spellEnd"/>
      <w:r w:rsidRPr="004E32EF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proofErr w:type="gramStart"/>
      <w:r w:rsidRPr="004E32EF">
        <w:rPr>
          <w:rFonts w:asciiTheme="majorHAnsi" w:hAnsiTheme="majorHAnsi" w:cstheme="majorHAnsi"/>
          <w:sz w:val="24"/>
          <w:szCs w:val="24"/>
          <w:lang w:val="pt-BR"/>
        </w:rPr>
        <w:t>do  ciclo</w:t>
      </w:r>
      <w:proofErr w:type="gramEnd"/>
      <w:r w:rsidRPr="004E32EF">
        <w:rPr>
          <w:rFonts w:asciiTheme="majorHAnsi" w:hAnsiTheme="majorHAnsi" w:cstheme="majorHAnsi"/>
          <w:sz w:val="24"/>
          <w:szCs w:val="24"/>
          <w:lang w:val="pt-BR"/>
        </w:rPr>
        <w:t xml:space="preserve"> 2021 – 2026. </w:t>
      </w:r>
      <w:r w:rsidRPr="004E32EF">
        <w:rPr>
          <w:rFonts w:asciiTheme="majorHAnsi" w:hAnsiTheme="majorHAnsi" w:cstheme="majorHAnsi"/>
          <w:bCs/>
          <w:sz w:val="24"/>
          <w:lang w:val="pt-BR"/>
        </w:rPr>
        <w:t xml:space="preserve">Ressalta-se que os resultados apresentados, em regra, se referem ao monitoramento final de 2024. </w:t>
      </w:r>
    </w:p>
    <w:p w:rsidR="004E32EF" w:rsidRPr="00BD50AE" w:rsidRDefault="004E32EF" w:rsidP="00BD50AE">
      <w:pPr>
        <w:spacing w:after="120" w:line="360" w:lineRule="auto"/>
        <w:jc w:val="both"/>
        <w:rPr>
          <w:rFonts w:ascii="Arial" w:hAnsi="Arial"/>
          <w:b/>
          <w:color w:val="E36C0A"/>
          <w:sz w:val="28"/>
          <w:lang w:val="pt-BR"/>
        </w:rPr>
      </w:pPr>
      <w:r w:rsidRPr="004E32EF">
        <w:rPr>
          <w:rFonts w:ascii="Arial" w:hAnsi="Arial"/>
          <w:b/>
          <w:color w:val="E36C0A"/>
          <w:sz w:val="28"/>
          <w:lang w:val="pt-BR"/>
        </w:rPr>
        <w:t>3. EVOLUÇÃO DO PAINEL ESTRATÉGICO NO CICLO 2021 - 2026</w:t>
      </w:r>
    </w:p>
    <w:p w:rsidR="004E32EF" w:rsidRPr="001F63B9" w:rsidRDefault="004E32EF" w:rsidP="00BD50AE">
      <w:pPr>
        <w:pStyle w:val="Default"/>
        <w:ind w:firstLine="720"/>
        <w:jc w:val="both"/>
        <w:rPr>
          <w:rFonts w:asciiTheme="majorHAnsi" w:hAnsiTheme="majorHAnsi" w:cstheme="majorHAnsi"/>
          <w:bCs/>
          <w:color w:val="auto"/>
          <w:szCs w:val="22"/>
        </w:rPr>
      </w:pPr>
      <w:r w:rsidRPr="001F63B9">
        <w:rPr>
          <w:rFonts w:asciiTheme="majorHAnsi" w:hAnsiTheme="majorHAnsi" w:cstheme="majorHAnsi"/>
          <w:bCs/>
          <w:color w:val="auto"/>
          <w:szCs w:val="22"/>
        </w:rPr>
        <w:t xml:space="preserve">Para 2024, foi definido o maior número de metas do ciclo 2021-2026, para compor o Planejamento Estratégico Institucional. Observa-se o avanço de 66 metas em 2021 para 83 metas em 2024, representando um aumento de 26% no total de metas estabelecidas entre os anos de 2021 e 2024. </w:t>
      </w:r>
    </w:p>
    <w:p w:rsidR="004E32EF" w:rsidRPr="001F63B9" w:rsidRDefault="004E32EF" w:rsidP="00BD50AE">
      <w:pPr>
        <w:pStyle w:val="Default"/>
        <w:ind w:firstLine="720"/>
        <w:jc w:val="both"/>
        <w:rPr>
          <w:rFonts w:asciiTheme="majorHAnsi" w:hAnsiTheme="majorHAnsi" w:cstheme="majorHAnsi"/>
          <w:bCs/>
          <w:color w:val="auto"/>
          <w:szCs w:val="22"/>
        </w:rPr>
      </w:pPr>
      <w:r w:rsidRPr="001F63B9">
        <w:rPr>
          <w:rFonts w:asciiTheme="majorHAnsi" w:hAnsiTheme="majorHAnsi" w:cstheme="majorHAnsi"/>
          <w:bCs/>
          <w:color w:val="auto"/>
          <w:szCs w:val="22"/>
        </w:rPr>
        <w:t>Considerando apenas as metas institucionais, observa-se um aumento de 3</w:t>
      </w:r>
      <w:r>
        <w:rPr>
          <w:rFonts w:asciiTheme="majorHAnsi" w:hAnsiTheme="majorHAnsi" w:cstheme="majorHAnsi"/>
          <w:bCs/>
          <w:color w:val="auto"/>
          <w:szCs w:val="22"/>
        </w:rPr>
        <w:t>2</w:t>
      </w:r>
      <w:r w:rsidRPr="001F63B9">
        <w:rPr>
          <w:rFonts w:asciiTheme="majorHAnsi" w:hAnsiTheme="majorHAnsi" w:cstheme="majorHAnsi"/>
          <w:bCs/>
          <w:color w:val="auto"/>
          <w:szCs w:val="22"/>
        </w:rPr>
        <w:t xml:space="preserve">% na quantidade de metas estabelecidas, já que passou de 56 metas aprovadas para compor o Planejamento Estratégico do ano 2021 para 74 metas aprovadas para o ano 2024. </w:t>
      </w:r>
    </w:p>
    <w:p w:rsidR="004E32EF" w:rsidRPr="004E32EF" w:rsidRDefault="004E32EF" w:rsidP="00BD50AE">
      <w:pPr>
        <w:spacing w:line="240" w:lineRule="auto"/>
        <w:ind w:firstLine="720"/>
        <w:jc w:val="both"/>
        <w:rPr>
          <w:rFonts w:asciiTheme="majorHAnsi" w:hAnsiTheme="majorHAnsi" w:cstheme="majorHAnsi"/>
          <w:bCs/>
          <w:sz w:val="24"/>
          <w:lang w:val="pt-BR"/>
        </w:rPr>
      </w:pPr>
      <w:r w:rsidRPr="004E32EF">
        <w:rPr>
          <w:rFonts w:asciiTheme="majorHAnsi" w:hAnsiTheme="majorHAnsi" w:cstheme="majorHAnsi"/>
          <w:bCs/>
          <w:sz w:val="24"/>
          <w:lang w:val="pt-BR"/>
        </w:rPr>
        <w:t>Em relação às metas nacionais, observa-se a redução de 10% no número de metas aprovadas no referido período, passando de 10 metas nacionais em 2021 para 9 em 2024.</w:t>
      </w:r>
    </w:p>
    <w:p w:rsidR="00F4007E" w:rsidRDefault="004E32EF" w:rsidP="00BD50AE">
      <w:pPr>
        <w:spacing w:after="60" w:line="240" w:lineRule="auto"/>
        <w:rPr>
          <w:rFonts w:ascii="Arial" w:hAnsi="Arial"/>
          <w:color w:val="0000FF"/>
          <w:lang w:val="pt-BR"/>
        </w:rPr>
      </w:pPr>
      <w:r w:rsidRPr="004E32EF">
        <w:rPr>
          <w:rFonts w:ascii="Arial" w:hAnsi="Arial"/>
          <w:color w:val="0000FF"/>
          <w:lang w:val="pt-BR"/>
        </w:rPr>
        <w:t>[INSERIR_TABELA_HISTORICA]</w:t>
      </w:r>
    </w:p>
    <w:p w:rsidR="00BD50AE" w:rsidRDefault="004E32EF" w:rsidP="00BD50AE">
      <w:pPr>
        <w:pStyle w:val="Default"/>
        <w:ind w:firstLine="720"/>
        <w:jc w:val="both"/>
        <w:rPr>
          <w:rFonts w:asciiTheme="majorHAnsi" w:hAnsiTheme="majorHAnsi" w:cstheme="majorHAnsi"/>
          <w:bCs/>
          <w:color w:val="auto"/>
          <w:szCs w:val="22"/>
        </w:rPr>
      </w:pPr>
      <w:r w:rsidRPr="001F63B9">
        <w:rPr>
          <w:rFonts w:asciiTheme="majorHAnsi" w:hAnsiTheme="majorHAnsi" w:cstheme="majorHAnsi"/>
          <w:bCs/>
          <w:color w:val="auto"/>
          <w:szCs w:val="22"/>
        </w:rPr>
        <w:t xml:space="preserve">No que se refere aos </w:t>
      </w:r>
      <w:proofErr w:type="spellStart"/>
      <w:r w:rsidRPr="001F63B9">
        <w:rPr>
          <w:rFonts w:asciiTheme="majorHAnsi" w:hAnsiTheme="majorHAnsi" w:cstheme="majorHAnsi"/>
          <w:bCs/>
          <w:color w:val="auto"/>
          <w:szCs w:val="22"/>
        </w:rPr>
        <w:t>macrodesafios</w:t>
      </w:r>
      <w:proofErr w:type="spellEnd"/>
      <w:r w:rsidRPr="001F63B9">
        <w:rPr>
          <w:rFonts w:asciiTheme="majorHAnsi" w:hAnsiTheme="majorHAnsi" w:cstheme="majorHAnsi"/>
          <w:bCs/>
          <w:color w:val="auto"/>
          <w:szCs w:val="22"/>
        </w:rPr>
        <w:t xml:space="preserve">, destaca-se o aumento de </w:t>
      </w:r>
      <w:r w:rsidR="00E0055D">
        <w:rPr>
          <w:rFonts w:asciiTheme="majorHAnsi" w:hAnsiTheme="majorHAnsi" w:cstheme="majorHAnsi"/>
          <w:bCs/>
          <w:color w:val="auto"/>
          <w:szCs w:val="22"/>
        </w:rPr>
        <w:t>**</w:t>
      </w:r>
      <w:r w:rsidRPr="001F63B9">
        <w:rPr>
          <w:rFonts w:asciiTheme="majorHAnsi" w:hAnsiTheme="majorHAnsi" w:cstheme="majorHAnsi"/>
          <w:b/>
          <w:color w:val="auto"/>
          <w:szCs w:val="22"/>
        </w:rPr>
        <w:t>64%</w:t>
      </w:r>
      <w:r w:rsidR="00E0055D">
        <w:rPr>
          <w:rFonts w:asciiTheme="majorHAnsi" w:hAnsiTheme="majorHAnsi" w:cstheme="majorHAnsi"/>
          <w:b/>
          <w:color w:val="auto"/>
          <w:szCs w:val="22"/>
        </w:rPr>
        <w:t>**</w:t>
      </w:r>
      <w:r w:rsidRPr="001F63B9">
        <w:rPr>
          <w:rFonts w:asciiTheme="majorHAnsi" w:hAnsiTheme="majorHAnsi" w:cstheme="majorHAnsi"/>
          <w:bCs/>
          <w:color w:val="auto"/>
          <w:szCs w:val="22"/>
        </w:rPr>
        <w:t xml:space="preserve"> no número de metas relacionadas ao </w:t>
      </w:r>
      <w:proofErr w:type="spellStart"/>
      <w:r w:rsidRPr="001F63B9">
        <w:rPr>
          <w:rFonts w:asciiTheme="majorHAnsi" w:hAnsiTheme="majorHAnsi" w:cstheme="majorHAnsi"/>
          <w:bCs/>
          <w:color w:val="auto"/>
          <w:szCs w:val="22"/>
        </w:rPr>
        <w:t>macrodesafio</w:t>
      </w:r>
      <w:proofErr w:type="spellEnd"/>
      <w:r w:rsidRPr="001F63B9">
        <w:rPr>
          <w:rFonts w:asciiTheme="majorHAnsi" w:hAnsiTheme="majorHAnsi" w:cstheme="majorHAnsi"/>
          <w:bCs/>
          <w:color w:val="auto"/>
          <w:szCs w:val="22"/>
        </w:rPr>
        <w:t xml:space="preserve"> 3, que visa promover maior agilidade e produtividade na prestação jurisdicional, entre os anos 2021 e 2024.</w:t>
      </w:r>
    </w:p>
    <w:p w:rsidR="00F255DB" w:rsidRDefault="00F4007E" w:rsidP="00BD50AE">
      <w:pPr>
        <w:pStyle w:val="Default"/>
        <w:jc w:val="both"/>
        <w:rPr>
          <w:rFonts w:ascii="Arial" w:hAnsi="Arial"/>
          <w:color w:val="0000FF"/>
        </w:rPr>
      </w:pPr>
      <w:bookmarkStart w:id="1" w:name="_GoBack"/>
      <w:bookmarkEnd w:id="1"/>
      <w:r w:rsidRPr="00F4007E">
        <w:rPr>
          <w:rFonts w:ascii="Arial" w:hAnsi="Arial"/>
          <w:color w:val="0000FF"/>
        </w:rPr>
        <w:t>[QUEBRA_PAGINA]</w:t>
      </w:r>
    </w:p>
    <w:p w:rsidR="004E32EF" w:rsidRDefault="004E32EF" w:rsidP="00BD50AE">
      <w:pPr>
        <w:spacing w:after="60" w:line="240" w:lineRule="auto"/>
        <w:rPr>
          <w:rFonts w:ascii="Arial" w:hAnsi="Arial"/>
          <w:color w:val="0000FF"/>
          <w:lang w:val="pt-BR"/>
        </w:rPr>
      </w:pPr>
      <w:r w:rsidRPr="004E32EF">
        <w:rPr>
          <w:rFonts w:ascii="Arial" w:hAnsi="Arial"/>
          <w:color w:val="0000FF"/>
          <w:lang w:val="pt-BR"/>
        </w:rPr>
        <w:t>[INSERIR_TABELA_MACRODESAFIO]</w:t>
      </w:r>
    </w:p>
    <w:p w:rsidR="004E32EF" w:rsidRDefault="004E32EF" w:rsidP="004E32EF">
      <w:pPr>
        <w:spacing w:after="60"/>
        <w:rPr>
          <w:rFonts w:ascii="Arial" w:hAnsi="Arial"/>
          <w:color w:val="0000FF"/>
          <w:lang w:val="pt-BR"/>
        </w:rPr>
      </w:pPr>
    </w:p>
    <w:p w:rsidR="004E32EF" w:rsidRPr="004E32EF" w:rsidRDefault="004E32EF" w:rsidP="004E32EF">
      <w:pPr>
        <w:spacing w:after="120" w:line="360" w:lineRule="auto"/>
        <w:jc w:val="both"/>
        <w:rPr>
          <w:rFonts w:ascii="Arial" w:hAnsi="Arial"/>
          <w:b/>
          <w:color w:val="E36C0A"/>
          <w:sz w:val="28"/>
          <w:lang w:val="pt-BR"/>
        </w:rPr>
      </w:pPr>
      <w:r w:rsidRPr="004E32EF">
        <w:rPr>
          <w:rFonts w:ascii="Arial" w:hAnsi="Arial"/>
          <w:b/>
          <w:color w:val="E36C0A"/>
          <w:sz w:val="28"/>
          <w:lang w:val="pt-BR"/>
        </w:rPr>
        <w:t>4. RESULTADOS ALCANÇADOS</w:t>
      </w:r>
    </w:p>
    <w:p w:rsidR="00700D11" w:rsidRDefault="004E32EF" w:rsidP="0045066F">
      <w:pPr>
        <w:pStyle w:val="textojustificadorecuoprimeiralinha"/>
        <w:spacing w:before="0" w:beforeAutospacing="0" w:after="200" w:afterAutospacing="0" w:line="360" w:lineRule="auto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Do </w:t>
      </w:r>
      <w:r w:rsidR="00E0055D">
        <w:rPr>
          <w:rFonts w:asciiTheme="majorHAnsi" w:hAnsiTheme="majorHAnsi" w:cstheme="majorHAnsi"/>
        </w:rPr>
        <w:t>**</w:t>
      </w:r>
      <w:r w:rsidRPr="0063510D">
        <w:rPr>
          <w:rFonts w:asciiTheme="majorHAnsi" w:hAnsiTheme="majorHAnsi" w:cstheme="majorHAnsi"/>
          <w:b/>
          <w:bCs/>
        </w:rPr>
        <w:t>total de 83 metas nacionais ou institucionais</w:t>
      </w:r>
      <w:r w:rsidR="00E0055D">
        <w:rPr>
          <w:rFonts w:asciiTheme="majorHAnsi" w:hAnsiTheme="majorHAnsi" w:cstheme="majorHAnsi"/>
          <w:b/>
          <w:bCs/>
        </w:rPr>
        <w:t>**</w:t>
      </w:r>
      <w:r w:rsidRPr="0063510D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</w:rPr>
        <w:t xml:space="preserve">aprovadas </w:t>
      </w:r>
      <w:r w:rsidRPr="00E423C4">
        <w:rPr>
          <w:rFonts w:asciiTheme="majorHAnsi" w:hAnsiTheme="majorHAnsi" w:cstheme="majorHAnsi"/>
        </w:rPr>
        <w:t xml:space="preserve">comporem o Planejamento Estratégico em </w:t>
      </w:r>
      <w:r w:rsidRPr="00CF7BD3">
        <w:rPr>
          <w:rFonts w:asciiTheme="majorHAnsi" w:hAnsiTheme="majorHAnsi" w:cstheme="majorHAnsi"/>
        </w:rPr>
        <w:t xml:space="preserve">2024, </w:t>
      </w:r>
      <w:r w:rsidR="00E0055D">
        <w:rPr>
          <w:rFonts w:asciiTheme="majorHAnsi" w:hAnsiTheme="majorHAnsi" w:cstheme="majorHAnsi"/>
        </w:rPr>
        <w:t>**</w:t>
      </w:r>
      <w:r>
        <w:rPr>
          <w:rFonts w:asciiTheme="majorHAnsi" w:hAnsiTheme="majorHAnsi" w:cstheme="majorHAnsi"/>
          <w:b/>
          <w:bCs/>
        </w:rPr>
        <w:t>53</w:t>
      </w:r>
      <w:r w:rsidRPr="0063510D">
        <w:rPr>
          <w:rFonts w:asciiTheme="majorHAnsi" w:hAnsiTheme="majorHAnsi" w:cstheme="majorHAnsi"/>
          <w:b/>
          <w:bCs/>
        </w:rPr>
        <w:t>% (</w:t>
      </w:r>
      <w:r>
        <w:rPr>
          <w:rFonts w:asciiTheme="majorHAnsi" w:hAnsiTheme="majorHAnsi" w:cstheme="majorHAnsi"/>
          <w:b/>
          <w:bCs/>
        </w:rPr>
        <w:t>44</w:t>
      </w:r>
      <w:r w:rsidRPr="0063510D">
        <w:rPr>
          <w:rFonts w:asciiTheme="majorHAnsi" w:hAnsiTheme="majorHAnsi" w:cstheme="majorHAnsi"/>
          <w:b/>
          <w:bCs/>
        </w:rPr>
        <w:t xml:space="preserve"> metas) tiveram resultado maior ou igual a 100% e outros 2</w:t>
      </w:r>
      <w:r>
        <w:rPr>
          <w:rFonts w:asciiTheme="majorHAnsi" w:hAnsiTheme="majorHAnsi" w:cstheme="majorHAnsi"/>
          <w:b/>
          <w:bCs/>
        </w:rPr>
        <w:t>5</w:t>
      </w:r>
      <w:r w:rsidRPr="0063510D">
        <w:rPr>
          <w:rFonts w:asciiTheme="majorHAnsi" w:hAnsiTheme="majorHAnsi" w:cstheme="majorHAnsi"/>
          <w:b/>
          <w:bCs/>
        </w:rPr>
        <w:t>% do total (</w:t>
      </w:r>
      <w:r>
        <w:rPr>
          <w:rFonts w:asciiTheme="majorHAnsi" w:hAnsiTheme="majorHAnsi" w:cstheme="majorHAnsi"/>
          <w:b/>
          <w:bCs/>
        </w:rPr>
        <w:t>21</w:t>
      </w:r>
      <w:r w:rsidRPr="0063510D">
        <w:rPr>
          <w:rFonts w:asciiTheme="majorHAnsi" w:hAnsiTheme="majorHAnsi" w:cstheme="majorHAnsi"/>
          <w:b/>
          <w:bCs/>
        </w:rPr>
        <w:t xml:space="preserve"> metas) alcançaram pelo menos 70% do percentual estabelecido para 2024</w:t>
      </w:r>
      <w:r w:rsidR="00E0055D">
        <w:rPr>
          <w:rFonts w:asciiTheme="majorHAnsi" w:hAnsiTheme="majorHAnsi" w:cstheme="majorHAnsi"/>
          <w:b/>
          <w:bCs/>
        </w:rPr>
        <w:t>**</w:t>
      </w:r>
      <w:r w:rsidRPr="00AB3A33">
        <w:rPr>
          <w:rFonts w:asciiTheme="majorHAnsi" w:hAnsiTheme="majorHAnsi" w:cstheme="majorHAnsi"/>
        </w:rPr>
        <w:t xml:space="preserve">. Em contrapartida, </w:t>
      </w:r>
      <w:r>
        <w:rPr>
          <w:rFonts w:asciiTheme="majorHAnsi" w:hAnsiTheme="majorHAnsi" w:cstheme="majorHAnsi"/>
        </w:rPr>
        <w:t>18</w:t>
      </w:r>
      <w:r w:rsidRPr="00AB3A33">
        <w:rPr>
          <w:rFonts w:asciiTheme="majorHAnsi" w:hAnsiTheme="majorHAnsi" w:cstheme="majorHAnsi"/>
        </w:rPr>
        <w:t>% (</w:t>
      </w:r>
      <w:r>
        <w:rPr>
          <w:rFonts w:asciiTheme="majorHAnsi" w:hAnsiTheme="majorHAnsi" w:cstheme="majorHAnsi"/>
        </w:rPr>
        <w:t>15</w:t>
      </w:r>
      <w:r w:rsidRPr="00AB3A33">
        <w:rPr>
          <w:rFonts w:asciiTheme="majorHAnsi" w:hAnsiTheme="majorHAnsi" w:cstheme="majorHAnsi"/>
        </w:rPr>
        <w:t xml:space="preserve"> metas) das metas estabelecidas obtiveram resultado inferior a 70%. Já, as demais, </w:t>
      </w:r>
      <w:r>
        <w:rPr>
          <w:rFonts w:asciiTheme="majorHAnsi" w:hAnsiTheme="majorHAnsi" w:cstheme="majorHAnsi"/>
        </w:rPr>
        <w:t>4</w:t>
      </w:r>
      <w:r w:rsidRPr="00AB3A33">
        <w:rPr>
          <w:rFonts w:asciiTheme="majorHAnsi" w:hAnsiTheme="majorHAnsi" w:cstheme="majorHAnsi"/>
        </w:rPr>
        <w:t>% (</w:t>
      </w:r>
      <w:r>
        <w:rPr>
          <w:rFonts w:asciiTheme="majorHAnsi" w:hAnsiTheme="majorHAnsi" w:cstheme="majorHAnsi"/>
        </w:rPr>
        <w:t>3</w:t>
      </w:r>
      <w:r w:rsidRPr="00AB3A33">
        <w:rPr>
          <w:rFonts w:asciiTheme="majorHAnsi" w:hAnsiTheme="majorHAnsi" w:cstheme="majorHAnsi"/>
        </w:rPr>
        <w:t xml:space="preserve"> metas) ainda não tiveram dados apurados em 2024.</w:t>
      </w:r>
    </w:p>
    <w:p w:rsidR="00F255DB" w:rsidRDefault="004E32EF" w:rsidP="00700D11">
      <w:pPr>
        <w:pStyle w:val="textojustificadorecuoprimeiralinha"/>
        <w:spacing w:before="0" w:beforeAutospacing="0" w:after="200" w:afterAutospacing="0" w:line="360" w:lineRule="auto"/>
        <w:jc w:val="both"/>
        <w:rPr>
          <w:rFonts w:ascii="Arial" w:hAnsi="Arial"/>
          <w:color w:val="0000FF"/>
        </w:rPr>
      </w:pPr>
      <w:r w:rsidRPr="004E32EF">
        <w:rPr>
          <w:rFonts w:ascii="Arial" w:hAnsi="Arial"/>
          <w:color w:val="0000FF"/>
        </w:rPr>
        <w:t>[INSERIR_TABELA_MONITORAMENTO]</w:t>
      </w:r>
    </w:p>
    <w:p w:rsidR="00F4007E" w:rsidRPr="0045066F" w:rsidRDefault="00F4007E" w:rsidP="00700D11">
      <w:pPr>
        <w:pStyle w:val="textojustificadorecuoprimeiralinha"/>
        <w:spacing w:before="0" w:beforeAutospacing="0" w:after="200" w:afterAutospacing="0" w:line="360" w:lineRule="auto"/>
        <w:jc w:val="both"/>
        <w:rPr>
          <w:rFonts w:asciiTheme="majorHAnsi" w:hAnsiTheme="majorHAnsi" w:cstheme="majorHAnsi"/>
        </w:rPr>
      </w:pPr>
      <w:r w:rsidRPr="00F4007E">
        <w:rPr>
          <w:rFonts w:ascii="Arial" w:hAnsi="Arial"/>
          <w:color w:val="0000FF"/>
        </w:rPr>
        <w:t>[QUEBRA_PAGINA]</w:t>
      </w:r>
    </w:p>
    <w:p w:rsidR="004E32EF" w:rsidRDefault="004E32EF" w:rsidP="004E32EF">
      <w:pPr>
        <w:spacing w:after="0" w:line="240" w:lineRule="auto"/>
        <w:jc w:val="both"/>
        <w:outlineLvl w:val="0"/>
        <w:rPr>
          <w:rFonts w:ascii="Arial" w:hAnsi="Arial"/>
          <w:color w:val="0000FF"/>
          <w:lang w:val="pt-BR"/>
        </w:rPr>
      </w:pPr>
    </w:p>
    <w:p w:rsidR="004E32EF" w:rsidRPr="004E32EF" w:rsidRDefault="004E32EF" w:rsidP="004E32EF">
      <w:pPr>
        <w:spacing w:after="120" w:line="360" w:lineRule="auto"/>
        <w:jc w:val="both"/>
        <w:rPr>
          <w:rFonts w:ascii="Arial" w:hAnsi="Arial"/>
          <w:b/>
          <w:color w:val="E36C0A"/>
          <w:sz w:val="28"/>
          <w:lang w:val="pt-BR"/>
        </w:rPr>
      </w:pPr>
      <w:r w:rsidRPr="004E32EF">
        <w:rPr>
          <w:rFonts w:ascii="Arial" w:hAnsi="Arial"/>
          <w:b/>
          <w:color w:val="E36C0A"/>
          <w:sz w:val="28"/>
          <w:lang w:val="pt-BR"/>
        </w:rPr>
        <w:t>4.1 METAS NACIONAIS</w:t>
      </w:r>
    </w:p>
    <w:p w:rsidR="004E32EF" w:rsidRPr="004E32EF" w:rsidRDefault="004E32EF" w:rsidP="004E32EF">
      <w:pPr>
        <w:spacing w:after="0" w:line="240" w:lineRule="auto"/>
        <w:jc w:val="both"/>
        <w:outlineLvl w:val="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4E32EF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lastRenderedPageBreak/>
        <w:t>A seguir, são apresentados os resultados obtidos pelo TJMG em 2024 nas metas nacionais do Poder Judiciário.</w:t>
      </w:r>
    </w:p>
    <w:p w:rsidR="000F0DBB" w:rsidRDefault="004E32EF" w:rsidP="000F0DBB">
      <w:pPr>
        <w:spacing w:after="60"/>
        <w:rPr>
          <w:rFonts w:ascii="Arial" w:hAnsi="Arial"/>
          <w:color w:val="0000FF"/>
          <w:lang w:val="pt-BR"/>
        </w:rPr>
      </w:pPr>
      <w:r w:rsidRPr="004E32EF">
        <w:rPr>
          <w:rFonts w:ascii="Arial" w:hAnsi="Arial"/>
          <w:color w:val="0000FF"/>
          <w:lang w:val="pt-BR"/>
        </w:rPr>
        <w:t>[INSERIR_TABELA_CNJ]</w:t>
      </w:r>
    </w:p>
    <w:p w:rsidR="000F0DBB" w:rsidRDefault="000F0DBB" w:rsidP="000F0DBB">
      <w:pPr>
        <w:spacing w:after="6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</w:p>
    <w:p w:rsidR="004E32EF" w:rsidRPr="000F0DBB" w:rsidRDefault="004E32EF" w:rsidP="000F0DBB">
      <w:pPr>
        <w:spacing w:after="60"/>
        <w:rPr>
          <w:rFonts w:ascii="Arial" w:hAnsi="Arial"/>
          <w:color w:val="0000FF"/>
          <w:lang w:val="pt-BR"/>
        </w:rPr>
      </w:pPr>
      <w:r w:rsidRPr="004E32EF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Conforme orientação do Centro de Informação Institucional (CEINFO) do TJMG, foi utilizado, como fonte para o monitoramento dos resultados, o Painel de Metas Nacionais do Poder Judiciário 2024 disponibilizado pelo Conselho Nacional de Justiça - CNJ. Esta definição está de acordo com a necessidade de acompanhar os resultados das metas em todas as instâncias do Tribunal. </w:t>
      </w:r>
    </w:p>
    <w:p w:rsidR="004E32EF" w:rsidRPr="004E32EF" w:rsidRDefault="004E32EF" w:rsidP="004E32EF">
      <w:pPr>
        <w:spacing w:after="60"/>
        <w:rPr>
          <w:rFonts w:ascii="Arial" w:hAnsi="Arial"/>
          <w:color w:val="0000FF"/>
          <w:lang w:val="pt-BR"/>
        </w:rPr>
      </w:pPr>
    </w:p>
    <w:p w:rsidR="004E32EF" w:rsidRPr="0045066F" w:rsidRDefault="004E32EF" w:rsidP="0045066F">
      <w:pPr>
        <w:spacing w:after="120" w:line="360" w:lineRule="auto"/>
        <w:jc w:val="both"/>
        <w:rPr>
          <w:rFonts w:ascii="Arial" w:hAnsi="Arial"/>
          <w:b/>
          <w:color w:val="E36C0A"/>
          <w:sz w:val="28"/>
          <w:lang w:val="pt-BR"/>
        </w:rPr>
      </w:pPr>
      <w:r w:rsidRPr="004E32EF">
        <w:rPr>
          <w:rFonts w:ascii="Arial" w:hAnsi="Arial"/>
          <w:b/>
          <w:color w:val="E36C0A"/>
          <w:sz w:val="28"/>
          <w:lang w:val="pt-BR"/>
        </w:rPr>
        <w:t>4.2 METAS INSTITUCIONAIS</w:t>
      </w:r>
    </w:p>
    <w:p w:rsidR="004E32EF" w:rsidRPr="004E32EF" w:rsidRDefault="004E32EF" w:rsidP="004E32EF">
      <w:pPr>
        <w:spacing w:after="0" w:line="240" w:lineRule="auto"/>
        <w:jc w:val="both"/>
        <w:outlineLvl w:val="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4E32EF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 seguir, os resultados das metas institucionais são apresentados de forma agrupada por superintendência na seguinte ordem: Presidência, 1ª Vice-Presidência, 2ª Vice-Presidência, 3ª Vice-Presidência e Corregedoria – Geral de Justiça.</w:t>
      </w:r>
    </w:p>
    <w:p w:rsidR="004E32EF" w:rsidRPr="004E32EF" w:rsidRDefault="004E32EF" w:rsidP="004E32EF">
      <w:pPr>
        <w:spacing w:after="60"/>
        <w:rPr>
          <w:rFonts w:ascii="Arial" w:hAnsi="Arial"/>
          <w:color w:val="0000FF"/>
          <w:lang w:val="pt-BR"/>
        </w:rPr>
      </w:pPr>
    </w:p>
    <w:p w:rsidR="004E32EF" w:rsidRPr="004E32EF" w:rsidRDefault="004E32EF" w:rsidP="004E32EF">
      <w:pPr>
        <w:spacing w:after="120" w:line="360" w:lineRule="auto"/>
        <w:jc w:val="both"/>
        <w:rPr>
          <w:rFonts w:ascii="Arial" w:hAnsi="Arial"/>
          <w:b/>
          <w:color w:val="E36C0A"/>
          <w:sz w:val="28"/>
          <w:lang w:val="pt-BR"/>
        </w:rPr>
      </w:pPr>
      <w:r w:rsidRPr="004E32EF">
        <w:rPr>
          <w:rFonts w:ascii="Arial" w:hAnsi="Arial"/>
          <w:b/>
          <w:color w:val="E36C0A"/>
          <w:sz w:val="28"/>
          <w:lang w:val="pt-BR"/>
        </w:rPr>
        <w:t>5. MONITORAMENTO DE METAS INSTITUCIONAIS</w:t>
      </w:r>
    </w:p>
    <w:p w:rsidR="004E32EF" w:rsidRDefault="004E32EF" w:rsidP="004E32EF">
      <w:pPr>
        <w:spacing w:after="60"/>
        <w:rPr>
          <w:rFonts w:ascii="Arial" w:hAnsi="Arial"/>
          <w:color w:val="0000FF"/>
          <w:lang w:val="pt-BR"/>
        </w:rPr>
      </w:pPr>
    </w:p>
    <w:p w:rsidR="004E32EF" w:rsidRDefault="004E32EF" w:rsidP="004E32EF">
      <w:pPr>
        <w:spacing w:after="60"/>
        <w:rPr>
          <w:rFonts w:ascii="Arial" w:hAnsi="Arial"/>
          <w:color w:val="0000FF"/>
          <w:lang w:val="pt-BR"/>
        </w:rPr>
      </w:pPr>
      <w:r w:rsidRPr="004E32EF">
        <w:rPr>
          <w:rFonts w:ascii="Arial" w:hAnsi="Arial"/>
          <w:color w:val="0000FF"/>
          <w:lang w:val="pt-BR"/>
        </w:rPr>
        <w:t>[INICIAR_SECAO_SUPERINTENDENCIAS]</w:t>
      </w:r>
    </w:p>
    <w:p w:rsidR="00494907" w:rsidRPr="00E0055D" w:rsidRDefault="00494907">
      <w:pPr>
        <w:spacing w:after="60"/>
        <w:rPr>
          <w:u w:val="single"/>
          <w:lang w:val="pt-BR"/>
        </w:rPr>
      </w:pPr>
    </w:p>
    <w:sectPr w:rsidR="00494907" w:rsidRPr="00E005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DF5C50"/>
    <w:multiLevelType w:val="hybridMultilevel"/>
    <w:tmpl w:val="6C36DE8A"/>
    <w:lvl w:ilvl="0" w:tplc="0416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0" w15:restartNumberingAfterBreak="0">
    <w:nsid w:val="54F911E6"/>
    <w:multiLevelType w:val="multilevel"/>
    <w:tmpl w:val="BC6C2578"/>
    <w:lvl w:ilvl="0">
      <w:start w:val="1"/>
      <w:numFmt w:val="decimal"/>
      <w:lvlText w:val="%1."/>
      <w:lvlJc w:val="left"/>
      <w:pPr>
        <w:ind w:left="417" w:hanging="360"/>
      </w:pPr>
      <w:rPr>
        <w:rFonts w:hint="default"/>
        <w:b/>
        <w:bCs/>
        <w:color w:val="E36C0A" w:themeColor="accent6" w:themeShade="BF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3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1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97" w:hanging="216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DBB"/>
    <w:rsid w:val="0015074B"/>
    <w:rsid w:val="0029639D"/>
    <w:rsid w:val="00326F90"/>
    <w:rsid w:val="0045066F"/>
    <w:rsid w:val="00494907"/>
    <w:rsid w:val="004E32EF"/>
    <w:rsid w:val="00700D11"/>
    <w:rsid w:val="008E49C3"/>
    <w:rsid w:val="009F0129"/>
    <w:rsid w:val="00AA1D8D"/>
    <w:rsid w:val="00B47730"/>
    <w:rsid w:val="00BD50AE"/>
    <w:rsid w:val="00C952C6"/>
    <w:rsid w:val="00CB0664"/>
    <w:rsid w:val="00CE7605"/>
    <w:rsid w:val="00E0055D"/>
    <w:rsid w:val="00F255DB"/>
    <w:rsid w:val="00F40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F6F7D"/>
  <w14:defaultImageDpi w14:val="300"/>
  <w15:docId w15:val="{C8F6FD40-9CC4-4123-8C1C-FB8087D2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ojustificadorecuoprimeiralinha">
    <w:name w:val="texto_justificado_recuo_primeira_linha"/>
    <w:basedOn w:val="Normal"/>
    <w:rsid w:val="004E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Default">
    <w:name w:val="Default"/>
    <w:rsid w:val="004E32EF"/>
    <w:pPr>
      <w:autoSpaceDE w:val="0"/>
      <w:autoSpaceDN w:val="0"/>
      <w:adjustRightInd w:val="0"/>
      <w:spacing w:after="0" w:line="240" w:lineRule="auto"/>
    </w:pPr>
    <w:rPr>
      <w:rFonts w:ascii="Calibri" w:eastAsia="Arial" w:hAnsi="Calibri" w:cs="Calibri"/>
      <w:color w:val="000000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A849D0-6BD8-4BE5-AA36-68B2FCED0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693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Augusto Eller</cp:lastModifiedBy>
  <cp:revision>14</cp:revision>
  <dcterms:created xsi:type="dcterms:W3CDTF">2025-12-04T15:06:00Z</dcterms:created>
  <dcterms:modified xsi:type="dcterms:W3CDTF">2025-12-10T18:12:00Z</dcterms:modified>
  <cp:category/>
</cp:coreProperties>
</file>