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val="0"/>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val="0"/>
                <w:sz w:val="22"/>
              </w:rPr>
              <w:t>20</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0</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val="0"/>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48</w:t>
            </w:r>
          </w:p>
        </w:tc>
      </w:tr>
    </w:tbl>
    <w:p/>
    <w:p/>
    <w:tbl>
      <w:tblPr>
        <w:tblStyle w:val="TableGrid"/>
        <w:tblW w:type="auto" w:w="0"/>
        <w:tblLook w:firstColumn="1" w:firstRow="1" w:lastColumn="0" w:lastRow="0" w:noHBand="0" w:noVBand="1" w:val="04A0"/>
        <w:tblInd w:w="-397" w:type="dxa"/>
      </w:tblPr>
      <w:tblGrid>
        <w:gridCol w:w="3213"/>
        <w:gridCol w:w="3213"/>
        <w:gridCol w:w="3213"/>
      </w:tblGrid>
      <w:tr>
        <w:trPr>
          <w:trHeight w:val="454"/>
        </w:trPr>
        <w:tc>
          <w:tcPr>
            <w:tcW w:type="dxa" w:w="1417"/>
            <w:gridSpan w:val="3"/>
            <w:shd w:fill="E36C0A"/>
            <w:vAlign w:val="center"/>
          </w:tcPr>
          <w:p>
            <w:pPr>
              <w:jc w:val="center"/>
            </w:pPr>
            <w:r>
              <w:rPr>
                <w:rFonts w:ascii="Calibri" w:hAnsi="Calibri"/>
                <w:b/>
                <w:color w:val="FFFFFF"/>
                <w:sz w:val="24"/>
              </w:rPr>
              <w:t>RESULTADO DO MONITORAMENTO DAS METAS ESTRATÉGICAS</w:t>
            </w:r>
          </w:p>
        </w:tc>
      </w:tr>
      <w:tr>
        <w:trPr>
          <w:trHeight w:val="454"/>
        </w:trPr>
        <w:tc>
          <w:tcPr>
            <w:tcW w:type="dxa" w:w="6803"/>
            <w:shd w:fill="FABF8F"/>
            <w:vAlign w:val="center"/>
          </w:tcPr>
          <w:p>
            <w:pPr>
              <w:jc w:val="center"/>
            </w:pPr>
            <w:r>
              <w:rPr>
                <w:rFonts w:ascii="Calibri" w:hAnsi="Calibri"/>
                <w:b/>
                <w:sz w:val="24"/>
              </w:rPr>
            </w:r>
          </w:p>
        </w:tc>
        <w:tc>
          <w:tcPr>
            <w:tcW w:type="dxa" w:w="1417"/>
            <w:shd w:fill="FABF8F"/>
            <w:vAlign w:val="center"/>
          </w:tcPr>
          <w:p>
            <w:pPr>
              <w:jc w:val="center"/>
            </w:pPr>
            <w:r>
              <w:rPr>
                <w:rFonts w:ascii="Calibri" w:hAnsi="Calibri"/>
                <w:b/>
                <w:sz w:val="24"/>
              </w:rPr>
              <w:t>Quantidade</w:t>
            </w:r>
          </w:p>
        </w:tc>
        <w:tc>
          <w:tcPr>
            <w:tcW w:type="dxa" w:w="1417"/>
            <w:shd w:fill="FABF8F"/>
            <w:vAlign w:val="center"/>
          </w:tcPr>
          <w:p>
            <w:pPr>
              <w:jc w:val="center"/>
            </w:pPr>
            <w:r>
              <w:rPr>
                <w:rFonts w:ascii="Calibri" w:hAnsi="Calibri"/>
                <w:b/>
                <w:sz w:val="24"/>
              </w:rPr>
              <w:t>Percentual</w:t>
            </w:r>
          </w:p>
        </w:tc>
      </w:tr>
      <w:tr>
        <w:trPr>
          <w:trHeight w:val="397"/>
        </w:trPr>
        <w:tc>
          <w:tcPr>
            <w:tcW w:type="dxa" w:w="6803"/>
            <w:shd w:fill="FBD4B4"/>
            <w:vAlign w:val="center"/>
          </w:tcPr>
          <w:p>
            <w:pPr>
              <w:jc w:val="left"/>
            </w:pPr>
            <w:r>
              <w:rPr>
                <w:rFonts w:ascii="Calibri" w:hAnsi="Calibri"/>
                <w:b w:val="0"/>
                <w:sz w:val="22"/>
              </w:rPr>
              <w:t>Metas com resultado maior ou igual 100%</w:t>
            </w:r>
          </w:p>
        </w:tc>
        <w:tc>
          <w:tcPr>
            <w:tcW w:type="dxa" w:w="1417"/>
            <w:shd w:fill="FBD4B4"/>
            <w:vAlign w:val="center"/>
          </w:tcPr>
          <w:p>
            <w:pPr>
              <w:jc w:val="center"/>
            </w:pPr>
            <w:r>
              <w:rPr>
                <w:rFonts w:ascii="Calibri" w:hAnsi="Calibri"/>
                <w:b w:val="0"/>
                <w:sz w:val="22"/>
              </w:rPr>
              <w:t>25</w:t>
            </w:r>
          </w:p>
        </w:tc>
        <w:tc>
          <w:tcPr>
            <w:tcW w:type="dxa" w:w="1417"/>
            <w:shd w:fill="FBD4B4"/>
            <w:vAlign w:val="center"/>
          </w:tcPr>
          <w:p>
            <w:pPr>
              <w:jc w:val="center"/>
            </w:pPr>
            <w:r>
              <w:rPr>
                <w:rFonts w:ascii="Calibri" w:hAnsi="Calibri"/>
                <w:b w:val="0"/>
                <w:sz w:val="22"/>
              </w:rPr>
              <w:t>37%</w:t>
            </w:r>
          </w:p>
        </w:tc>
      </w:tr>
      <w:tr>
        <w:trPr>
          <w:trHeight w:val="397"/>
        </w:trPr>
        <w:tc>
          <w:tcPr>
            <w:tcW w:type="dxa" w:w="6803"/>
            <w:shd w:fill="FFFFFF"/>
            <w:vAlign w:val="center"/>
          </w:tcPr>
          <w:p>
            <w:pPr>
              <w:jc w:val="left"/>
            </w:pPr>
            <w:r>
              <w:rPr>
                <w:rFonts w:ascii="Calibri" w:hAnsi="Calibri"/>
                <w:b w:val="0"/>
                <w:sz w:val="22"/>
              </w:rPr>
              <w:t>Metas com resultado entre 70% e 100%</w:t>
            </w:r>
          </w:p>
        </w:tc>
        <w:tc>
          <w:tcPr>
            <w:tcW w:type="dxa" w:w="1417"/>
            <w:shd w:fill="FFFFFF"/>
            <w:vAlign w:val="center"/>
          </w:tcPr>
          <w:p>
            <w:pPr>
              <w:jc w:val="center"/>
            </w:pPr>
            <w:r>
              <w:rPr>
                <w:rFonts w:ascii="Calibri" w:hAnsi="Calibri"/>
                <w:b w:val="0"/>
                <w:sz w:val="22"/>
              </w:rPr>
              <w:t>21</w:t>
            </w:r>
          </w:p>
        </w:tc>
        <w:tc>
          <w:tcPr>
            <w:tcW w:type="dxa" w:w="1417"/>
            <w:shd w:fill="FFFFFF"/>
            <w:vAlign w:val="center"/>
          </w:tcPr>
          <w:p>
            <w:pPr>
              <w:jc w:val="center"/>
            </w:pPr>
            <w:r>
              <w:rPr>
                <w:rFonts w:ascii="Calibri" w:hAnsi="Calibri"/>
                <w:b w:val="0"/>
                <w:sz w:val="22"/>
              </w:rPr>
              <w:t>31%</w:t>
            </w:r>
          </w:p>
        </w:tc>
      </w:tr>
      <w:tr>
        <w:trPr>
          <w:trHeight w:val="397"/>
        </w:trPr>
        <w:tc>
          <w:tcPr>
            <w:tcW w:type="dxa" w:w="6803"/>
            <w:shd w:fill="FBD4B4"/>
            <w:vAlign w:val="center"/>
          </w:tcPr>
          <w:p>
            <w:pPr>
              <w:jc w:val="left"/>
            </w:pPr>
            <w:r>
              <w:rPr>
                <w:rFonts w:ascii="Calibri" w:hAnsi="Calibri"/>
                <w:b w:val="0"/>
                <w:sz w:val="22"/>
              </w:rPr>
              <w:t>Metas com resultado abaixo de 70%</w:t>
            </w:r>
          </w:p>
        </w:tc>
        <w:tc>
          <w:tcPr>
            <w:tcW w:type="dxa" w:w="1417"/>
            <w:shd w:fill="FBD4B4"/>
            <w:vAlign w:val="center"/>
          </w:tcPr>
          <w:p>
            <w:pPr>
              <w:jc w:val="center"/>
            </w:pPr>
            <w:r>
              <w:rPr>
                <w:rFonts w:ascii="Calibri" w:hAnsi="Calibri"/>
                <w:b w:val="0"/>
                <w:sz w:val="22"/>
              </w:rPr>
              <w:t>18</w:t>
            </w:r>
          </w:p>
        </w:tc>
        <w:tc>
          <w:tcPr>
            <w:tcW w:type="dxa" w:w="1417"/>
            <w:shd w:fill="FBD4B4"/>
            <w:vAlign w:val="center"/>
          </w:tcPr>
          <w:p>
            <w:pPr>
              <w:jc w:val="center"/>
            </w:pPr>
            <w:r>
              <w:rPr>
                <w:rFonts w:ascii="Calibri" w:hAnsi="Calibri"/>
                <w:b w:val="0"/>
                <w:sz w:val="22"/>
              </w:rPr>
              <w:t>27%</w:t>
            </w:r>
          </w:p>
        </w:tc>
      </w:tr>
      <w:tr>
        <w:trPr>
          <w:trHeight w:val="397"/>
        </w:trPr>
        <w:tc>
          <w:tcPr>
            <w:tcW w:type="dxa" w:w="6803"/>
            <w:shd w:fill="FFFFFF"/>
            <w:vAlign w:val="center"/>
          </w:tcPr>
          <w:p>
            <w:pPr>
              <w:jc w:val="left"/>
            </w:pPr>
            <w:r>
              <w:rPr>
                <w:rFonts w:ascii="Calibri" w:hAnsi="Calibri"/>
                <w:b w:val="0"/>
                <w:sz w:val="22"/>
              </w:rPr>
              <w:t>Metas sem apuração até outubro/2024</w:t>
            </w:r>
          </w:p>
        </w:tc>
        <w:tc>
          <w:tcPr>
            <w:tcW w:type="dxa" w:w="1417"/>
            <w:shd w:fill="FFFFFF"/>
            <w:vAlign w:val="center"/>
          </w:tcPr>
          <w:p>
            <w:pPr>
              <w:jc w:val="center"/>
            </w:pPr>
            <w:r>
              <w:rPr>
                <w:rFonts w:ascii="Calibri" w:hAnsi="Calibri"/>
                <w:b w:val="0"/>
                <w:sz w:val="22"/>
              </w:rPr>
              <w:t>3</w:t>
            </w:r>
          </w:p>
        </w:tc>
        <w:tc>
          <w:tcPr>
            <w:tcW w:type="dxa" w:w="1417"/>
            <w:shd w:fill="FFFFFF"/>
            <w:vAlign w:val="center"/>
          </w:tcPr>
          <w:p>
            <w:pPr>
              <w:jc w:val="center"/>
            </w:pPr>
            <w:r>
              <w:rPr>
                <w:rFonts w:ascii="Calibri" w:hAnsi="Calibri"/>
                <w:b w:val="0"/>
                <w:sz w:val="22"/>
              </w:rPr>
              <w:t>4%</w:t>
            </w:r>
          </w:p>
        </w:tc>
      </w:tr>
      <w:tr>
        <w:trPr>
          <w:trHeight w:val="454"/>
        </w:trPr>
        <w:tc>
          <w:tcPr>
            <w:tcW w:type="dxa" w:w="6803"/>
            <w:shd w:fill="404040"/>
            <w:vAlign w:val="center"/>
          </w:tcPr>
          <w:p>
            <w:pPr>
              <w:jc w:val="left"/>
            </w:pPr>
            <w:r>
              <w:rPr>
                <w:rFonts w:ascii="Calibri" w:hAnsi="Calibri"/>
                <w:b/>
                <w:color w:val="FFFFFF"/>
                <w:sz w:val="24"/>
              </w:rPr>
              <w:t>Total</w:t>
            </w:r>
          </w:p>
        </w:tc>
        <w:tc>
          <w:tcPr>
            <w:tcW w:type="dxa" w:w="1417"/>
            <w:shd w:fill="404040"/>
            <w:vAlign w:val="center"/>
          </w:tcPr>
          <w:p>
            <w:pPr>
              <w:jc w:val="center"/>
            </w:pPr>
            <w:r>
              <w:rPr>
                <w:rFonts w:ascii="Calibri" w:hAnsi="Calibri"/>
                <w:b/>
                <w:color w:val="FFFFFF"/>
                <w:sz w:val="24"/>
              </w:rPr>
              <w:t>67</w:t>
            </w:r>
          </w:p>
        </w:tc>
        <w:tc>
          <w:tcPr>
            <w:tcW w:type="dxa" w:w="1417"/>
            <w:shd w:fill="404040"/>
            <w:vAlign w:val="center"/>
          </w:tcPr>
          <w:p>
            <w:pPr>
              <w:jc w:val="center"/>
            </w:pPr>
            <w:r>
              <w:rPr>
                <w:rFonts w:ascii="Calibri" w:hAnsi="Calibri"/>
                <w:b/>
                <w:color w:val="FFFFFF"/>
                <w:sz w:val="24"/>
              </w:rPr>
              <w:t>100%</w:t>
            </w:r>
          </w:p>
        </w:tc>
      </w:tr>
    </w:tbl>
    <w:p/>
    <w:p>
      <w:pPr>
        <w:sectPr>
          <w:headerReference w:type="default" r:id="rId9"/>
          <w:pgSz w:w="11906" w:h="16838"/>
          <w:pgMar w:top="1417" w:right="1134" w:bottom="1417" w:left="1134" w:header="850" w:footer="850"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0"/>
          <w:footerReference w:type="default" r:id="rId11"/>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2"/>
          <w:footerReference w:type="default" r:id="rId13"/>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4"/>
          <w:footerReference w:type="default" r:id="rId15"/>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6"/>
          <w:footerReference w:type="default" r:id="rId17"/>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8"/>
          <w:footerReference w:type="default" r:id="rId19"/>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20"/>
      <w:footerReference w:type="default" r:id="rId21"/>
      <w:pgSz w:w="16838" w:h="11906" w:orient="landscape"/>
      <w:pgMar w:top="1417" w:right="850"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120"/>
      <w:jc w:val="center"/>
    </w:pPr>
    <w:r>
      <w:rPr>
        <w:rFonts w:ascii="Calibri" w:hAnsi="Calibri"/>
        <w:b/>
        <w:sz w:val="28"/>
      </w:rPr>
      <w:t>Resultados do Monitoramento de Metas Estratégicas 2025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header" Target="header7.xml"/><Relationship Id="rId2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