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21"/>
          <w:footerReference w:type="default" r:id="rId22"/>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23"/>
          <w:footerReference w:type="default" r:id="rId2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25"/>
          <w:footerReference w:type="default" r:id="rId2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27"/>
          <w:footerReference w:type="default" r:id="rId2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9"/>
      <w:footerReference w:type="default" r:id="rId3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Ind w:w="-992" w:type="dxa"/>
    </w:tblPr>
    <w:tblGrid>
      <w:gridCol w:w="10205"/>
      <w:gridCol w:w="1701"/>
    </w:tblGrid>
    <w:tr>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10205"/>
      <w:gridCol w:w="1701"/>
    </w:tblGrid>
    <w:tr>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10205"/>
      <w:gridCol w:w="1701"/>
    </w:tblGrid>
    <w:tr>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10205"/>
      <w:gridCol w:w="1701"/>
    </w:tblGrid>
    <w:tr>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10205"/>
      <w:gridCol w:w="1701"/>
    </w:tblGrid>
    <w:tr>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10205"/>
      <w:gridCol w:w="1701"/>
    </w:tblGrid>
    <w:tr>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10205"/>
      <w:gridCol w:w="1701"/>
    </w:tblGrid>
    <w:tr>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10205"/>
      <w:gridCol w:w="1701"/>
    </w:tblGrid>
    <w:tr>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992" w:type="dxa"/>
    </w:tblPr>
    <w:tblGrid>
      <w:gridCol w:w="10205"/>
      <w:gridCol w:w="1701"/>
    </w:tblGrid>
    <w:tr>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 / Diretoria Executiva de Planejamento Orçamentário e Qualidade na Gestão Institucional - DEPLAG</w:t>
          </w:r>
        </w:p>
      </w:tc>
      <w:tc>
        <w:tcPr>
          <w:tcW w:type="dxa" w:w="5953"/>
          <w:vAlign w:val="center"/>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