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ind w:left="-992" w:right="-992"/>
      <w:jc w:val="left"/>
    </w:pPr>
    <w:r>
      <w:rPr>
        <w:rFonts w:ascii="Calibri" w:hAnsi="Calibri"/>
        <w:sz w:val="18"/>
      </w:rPr>
      <w:t>Assessoria Técnica e Jurídica ao Planejamento e à Gestão Institucional - ASPLAG</w:t>
    </w:r>
  </w:p>
  <w:p>
    <w:pPr>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left="-992" w:right="-992"/>
      <w:jc w:val="left"/>
    </w:pPr>
    <w:r>
      <w:rPr>
        <w:rFonts w:ascii="Calibri" w:hAnsi="Calibri"/>
        <w:sz w:val="18"/>
      </w:rPr>
      <w:t>Assessoria Técnica e Jurídica ao Planejamento e à Gestão Institucional - ASPLAG</w:t>
    </w:r>
  </w:p>
  <w:p>
    <w:pPr>
      <w:spacing w:after="0"/>
      <w:ind w:left="-992" w:right="-992"/>
      <w:jc w:val="left"/>
    </w:pPr>
    <w:r>
      <w:rPr>
        <w:rFonts w:ascii="Calibri" w:hAnsi="Calibri"/>
        <w:sz w:val="18"/>
      </w:rPr>
      <w:t>Diretoria Executiva de Planejamento Orçamentário e Qualidade na Gestão Institucional - DEPLAG</w:t>
    </w:r>
  </w:p>
  <w:p>
    <w:pPr>
      <w:ind w:left="-992" w:right="-992"/>
      <w:jc w:val="right"/>
    </w:pPr>
    <w:r>
      <w:rPr>
        <w:rFonts w:ascii="Calibri" w:hAnsi="Calibr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