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102"/>
      <w:gridCol w:w="1701"/>
      <w:gridCol w:w="5102"/>
    </w:tblGrid>
    <w:tr>
      <w:tc>
        <w:tcPr>
          <w:tcW w:type="dxa" w:w="39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3969"/>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39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6236"/>
      <w:gridCol w:w="1701"/>
      <w:gridCol w:w="6236"/>
    </w:tblGrid>
    <w:tr>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center"/>
          </w:pPr>
          <w:r>
            <w:rPr>
              <w:rFonts w:ascii="Calibri" w:hAnsi="Calibri"/>
              <w:sz w:val="18"/>
            </w:rPr>
            <w:fldChar w:fldCharType="begin"/>
            <w:instrText xml:space="preserve">PAGE</w:instrText>
            <w:fldChar w:fldCharType="end"/>
          </w:r>
        </w:p>
      </w:tc>
      <w:tc>
        <w:tcPr>
          <w:tcW w:type="dxa" w:w="4724"/>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t>Diretoria Executiva de Planejamento Orçamentário e Qualidade na Gestão Institucional - DEPLAG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