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31D5" w:rsidRPr="00187A00" w:rsidRDefault="003C31D5" w:rsidP="003C31D5">
      <w:r w:rsidRPr="00187A00">
        <w:t>Apresentamos um consolidado de dados do TJMG extraídos dos relatórios Justiça em Números, nos últimos 0</w:t>
      </w:r>
      <w:r>
        <w:t>6</w:t>
      </w:r>
      <w:r w:rsidRPr="00187A00">
        <w:t xml:space="preserve"> (</w:t>
      </w:r>
      <w:r>
        <w:t>seis</w:t>
      </w:r>
      <w:r w:rsidRPr="00187A00">
        <w:t>) anos:</w:t>
      </w:r>
    </w:p>
    <w:tbl>
      <w:tblPr>
        <w:tblW w:w="10632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2977"/>
        <w:gridCol w:w="1275"/>
        <w:gridCol w:w="1276"/>
        <w:gridCol w:w="1276"/>
        <w:gridCol w:w="1276"/>
        <w:gridCol w:w="1276"/>
        <w:gridCol w:w="1276"/>
      </w:tblGrid>
      <w:tr w:rsidR="003C31D5" w:rsidRPr="000E3CB4" w:rsidTr="00AB5244">
        <w:trPr>
          <w:tblHeader/>
        </w:trPr>
        <w:tc>
          <w:tcPr>
            <w:tcW w:w="10632" w:type="dxa"/>
            <w:gridSpan w:val="7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:rsidR="003C31D5" w:rsidRPr="00187A00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color w:val="FFFFFF" w:themeColor="background1"/>
                <w:szCs w:val="24"/>
              </w:rPr>
            </w:pPr>
            <w:r w:rsidRPr="00187A00">
              <w:rPr>
                <w:rFonts w:cstheme="majorHAnsi"/>
                <w:b/>
                <w:bCs/>
                <w:color w:val="FFFFFF" w:themeColor="background1"/>
                <w:szCs w:val="24"/>
              </w:rPr>
              <w:t>RELATÓRIO JUSTIÇA EM NÚMEROS (CNJ)</w:t>
            </w:r>
            <w:r>
              <w:rPr>
                <w:rFonts w:cstheme="majorHAnsi"/>
                <w:b/>
                <w:bCs/>
                <w:color w:val="FFFFFF" w:themeColor="background1"/>
                <w:szCs w:val="24"/>
              </w:rPr>
              <w:t xml:space="preserve"> | </w:t>
            </w:r>
            <w:r w:rsidRPr="00187A00">
              <w:rPr>
                <w:rFonts w:cstheme="majorHAnsi"/>
                <w:b/>
                <w:bCs/>
                <w:color w:val="FFFFFF" w:themeColor="background1"/>
                <w:szCs w:val="24"/>
              </w:rPr>
              <w:t>DADOS ANUAIS DO TJMG</w:t>
            </w:r>
          </w:p>
        </w:tc>
      </w:tr>
      <w:tr w:rsidR="003C31D5" w:rsidRPr="000E3CB4" w:rsidTr="00AB5244">
        <w:trPr>
          <w:tblHeader/>
        </w:trPr>
        <w:tc>
          <w:tcPr>
            <w:tcW w:w="2977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left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 xml:space="preserve">Ano de edição do relatório 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2019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2020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2021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2022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2023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2024</w:t>
            </w:r>
          </w:p>
        </w:tc>
      </w:tr>
      <w:tr w:rsidR="003C31D5" w:rsidRPr="000E3CB4" w:rsidTr="00AB5244">
        <w:trPr>
          <w:tblHeader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left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Ano base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2018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2020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3C31D5" w:rsidRPr="00CD20A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CD20AE">
              <w:rPr>
                <w:rFonts w:cstheme="majorHAnsi"/>
                <w:b/>
                <w:bCs/>
                <w:sz w:val="22"/>
              </w:rPr>
              <w:t>2023</w:t>
            </w:r>
          </w:p>
        </w:tc>
      </w:tr>
      <w:tr w:rsidR="003C31D5" w:rsidRPr="000E3CB4" w:rsidTr="00AB5244">
        <w:tc>
          <w:tcPr>
            <w:tcW w:w="297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Nº de municípios-sede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296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296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297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297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298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C31D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298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Percentual da população em munícipios-sede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81,6%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81,6%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81,6%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81,6%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82%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82%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Nº de unidades judiciárias (Estrutura de 1º grau)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848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861</w:t>
            </w:r>
          </w:p>
        </w:tc>
        <w:tc>
          <w:tcPr>
            <w:tcW w:w="1276" w:type="dxa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870</w:t>
            </w:r>
          </w:p>
        </w:tc>
        <w:tc>
          <w:tcPr>
            <w:tcW w:w="1276" w:type="dxa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778</w:t>
            </w:r>
          </w:p>
        </w:tc>
        <w:tc>
          <w:tcPr>
            <w:tcW w:w="1276" w:type="dxa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896</w:t>
            </w:r>
          </w:p>
        </w:tc>
        <w:tc>
          <w:tcPr>
            <w:tcW w:w="1276" w:type="dxa"/>
            <w:vAlign w:val="center"/>
          </w:tcPr>
          <w:p w:rsidR="003C31D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962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Classificação do TJMG dentro do Grupo ‘Grande Porte’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3º lugar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3º lugar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2º lugar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EA2F99">
              <w:rPr>
                <w:rFonts w:cstheme="majorHAnsi"/>
                <w:sz w:val="22"/>
              </w:rPr>
              <w:t>3º lugar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01EB2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001EB2">
              <w:rPr>
                <w:rFonts w:cstheme="majorHAnsi"/>
                <w:bCs/>
                <w:sz w:val="22"/>
              </w:rPr>
              <w:t>2º lugar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187A00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sz w:val="22"/>
              </w:rPr>
            </w:pPr>
            <w:r w:rsidRPr="00187A00">
              <w:rPr>
                <w:rFonts w:cstheme="majorHAnsi"/>
                <w:b/>
                <w:sz w:val="22"/>
              </w:rPr>
              <w:t>2º lugar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Nº de magistrados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1.030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1.083</w:t>
            </w:r>
          </w:p>
        </w:tc>
        <w:tc>
          <w:tcPr>
            <w:tcW w:w="1276" w:type="dxa"/>
            <w:vAlign w:val="center"/>
          </w:tcPr>
          <w:p w:rsidR="003C31D5" w:rsidRPr="00C61179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C61179">
              <w:rPr>
                <w:rFonts w:cstheme="majorHAnsi"/>
                <w:sz w:val="22"/>
              </w:rPr>
              <w:t>1.085</w:t>
            </w:r>
          </w:p>
        </w:tc>
        <w:tc>
          <w:tcPr>
            <w:tcW w:w="1276" w:type="dxa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1.065</w:t>
            </w:r>
          </w:p>
        </w:tc>
        <w:tc>
          <w:tcPr>
            <w:tcW w:w="1276" w:type="dxa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1.044</w:t>
            </w:r>
          </w:p>
        </w:tc>
        <w:tc>
          <w:tcPr>
            <w:tcW w:w="1276" w:type="dxa"/>
            <w:vAlign w:val="center"/>
          </w:tcPr>
          <w:p w:rsidR="003C31D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1.022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Força de trabalho (servidores e auxiliares)</w:t>
            </w:r>
            <w:r>
              <w:rPr>
                <w:rFonts w:cstheme="majorHAnsi"/>
                <w:sz w:val="22"/>
              </w:rPr>
              <w:t xml:space="preserve"> (*)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27.847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28.037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C61179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C61179">
              <w:rPr>
                <w:rFonts w:cstheme="majorHAnsi"/>
                <w:sz w:val="22"/>
              </w:rPr>
              <w:t>27.334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24.221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32.887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01EB2">
              <w:rPr>
                <w:rFonts w:cstheme="majorHAnsi"/>
                <w:sz w:val="22"/>
              </w:rPr>
              <w:t>32</w:t>
            </w:r>
            <w:r>
              <w:rPr>
                <w:rFonts w:cstheme="majorHAnsi"/>
                <w:sz w:val="22"/>
              </w:rPr>
              <w:t>.</w:t>
            </w:r>
            <w:r w:rsidRPr="00001EB2">
              <w:rPr>
                <w:rFonts w:cstheme="majorHAnsi"/>
                <w:sz w:val="22"/>
              </w:rPr>
              <w:t>695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Despesa total da justiça</w:t>
            </w:r>
            <w:r>
              <w:rPr>
                <w:rFonts w:cstheme="majorHAnsi"/>
                <w:sz w:val="22"/>
              </w:rPr>
              <w:t xml:space="preserve"> (Bilhões)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9C7361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9C7361">
              <w:rPr>
                <w:rFonts w:cstheme="majorHAnsi"/>
                <w:sz w:val="22"/>
              </w:rPr>
              <w:t>5.098.319.857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9C7361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9C7361">
              <w:rPr>
                <w:rFonts w:cstheme="majorHAnsi"/>
                <w:sz w:val="22"/>
              </w:rPr>
              <w:t>5.790.909.062</w:t>
            </w:r>
          </w:p>
        </w:tc>
        <w:tc>
          <w:tcPr>
            <w:tcW w:w="1276" w:type="dxa"/>
            <w:vAlign w:val="center"/>
          </w:tcPr>
          <w:p w:rsidR="003C31D5" w:rsidRPr="009C7361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9C7361">
              <w:rPr>
                <w:rFonts w:cstheme="majorHAnsi"/>
                <w:sz w:val="22"/>
              </w:rPr>
              <w:t>6.396.561.674</w:t>
            </w:r>
          </w:p>
        </w:tc>
        <w:tc>
          <w:tcPr>
            <w:tcW w:w="1276" w:type="dxa"/>
            <w:vAlign w:val="center"/>
          </w:tcPr>
          <w:p w:rsidR="003C31D5" w:rsidRPr="009C7361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9C7361">
              <w:rPr>
                <w:rFonts w:cstheme="majorHAnsi"/>
                <w:sz w:val="22"/>
              </w:rPr>
              <w:t>6.735.890.808</w:t>
            </w:r>
          </w:p>
        </w:tc>
        <w:tc>
          <w:tcPr>
            <w:tcW w:w="1276" w:type="dxa"/>
            <w:vAlign w:val="center"/>
          </w:tcPr>
          <w:p w:rsidR="003C31D5" w:rsidRPr="009C7361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9C7361">
              <w:rPr>
                <w:rFonts w:cstheme="majorHAnsi"/>
                <w:sz w:val="22"/>
              </w:rPr>
              <w:t>8.108.940.000</w:t>
            </w:r>
          </w:p>
        </w:tc>
        <w:tc>
          <w:tcPr>
            <w:tcW w:w="1276" w:type="dxa"/>
            <w:vAlign w:val="center"/>
          </w:tcPr>
          <w:p w:rsidR="003C31D5" w:rsidRPr="009C7361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01EB2">
              <w:rPr>
                <w:rFonts w:cstheme="majorHAnsi"/>
                <w:sz w:val="22"/>
              </w:rPr>
              <w:t>9.634.461.461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A42E0F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A42E0F">
              <w:rPr>
                <w:rFonts w:cstheme="majorHAnsi"/>
                <w:sz w:val="22"/>
              </w:rPr>
              <w:t>Despesa total por habitante, incluindo custo com inativos (Reais)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A42E0F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A42E0F">
              <w:rPr>
                <w:rFonts w:cstheme="majorHAnsi"/>
                <w:sz w:val="22"/>
              </w:rPr>
              <w:t xml:space="preserve">242,3 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A42E0F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A42E0F">
              <w:rPr>
                <w:rFonts w:cstheme="majorHAnsi"/>
                <w:sz w:val="22"/>
              </w:rPr>
              <w:t>273,6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A42E0F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A42E0F">
              <w:rPr>
                <w:rFonts w:cstheme="majorHAnsi"/>
                <w:sz w:val="22"/>
              </w:rPr>
              <w:t>300,4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A42E0F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A42E0F">
              <w:rPr>
                <w:rFonts w:cstheme="majorHAnsi"/>
                <w:sz w:val="22"/>
              </w:rPr>
              <w:t>314,6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A42E0F">
              <w:rPr>
                <w:rFonts w:cstheme="majorHAnsi"/>
                <w:sz w:val="22"/>
              </w:rPr>
              <w:t>376,1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A42E0F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01EB2">
              <w:rPr>
                <w:rFonts w:cstheme="majorHAnsi"/>
                <w:sz w:val="22"/>
              </w:rPr>
              <w:t>469,1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 xml:space="preserve">Custo médio mensal com magistrados </w:t>
            </w:r>
            <w:r>
              <w:rPr>
                <w:rFonts w:cstheme="majorHAnsi"/>
                <w:sz w:val="22"/>
              </w:rPr>
              <w:t>(Milhões)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40.541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63.158</w:t>
            </w:r>
          </w:p>
        </w:tc>
        <w:tc>
          <w:tcPr>
            <w:tcW w:w="1276" w:type="dxa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70.997</w:t>
            </w:r>
          </w:p>
        </w:tc>
        <w:tc>
          <w:tcPr>
            <w:tcW w:w="1276" w:type="dxa"/>
            <w:vAlign w:val="center"/>
          </w:tcPr>
          <w:p w:rsidR="003C31D5" w:rsidRPr="001F1B8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1F1B84">
              <w:rPr>
                <w:rFonts w:cstheme="majorHAnsi"/>
                <w:sz w:val="22"/>
              </w:rPr>
              <w:t>78.596</w:t>
            </w:r>
          </w:p>
        </w:tc>
        <w:tc>
          <w:tcPr>
            <w:tcW w:w="1276" w:type="dxa"/>
            <w:vAlign w:val="center"/>
          </w:tcPr>
          <w:p w:rsidR="003C31D5" w:rsidRPr="00001EB2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001EB2">
              <w:rPr>
                <w:rFonts w:cstheme="majorHAnsi"/>
                <w:bCs/>
                <w:sz w:val="22"/>
              </w:rPr>
              <w:t xml:space="preserve">170.287 </w:t>
            </w:r>
          </w:p>
        </w:tc>
        <w:tc>
          <w:tcPr>
            <w:tcW w:w="1276" w:type="dxa"/>
            <w:vAlign w:val="center"/>
          </w:tcPr>
          <w:p w:rsidR="003C31D5" w:rsidRPr="00001EB2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001EB2">
              <w:rPr>
                <w:rFonts w:cstheme="majorHAnsi"/>
                <w:bCs/>
                <w:sz w:val="22"/>
              </w:rPr>
              <w:t>84.349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Custo médio mensal com servidores</w:t>
            </w:r>
            <w:r>
              <w:rPr>
                <w:rFonts w:cstheme="majorHAnsi"/>
                <w:sz w:val="22"/>
              </w:rPr>
              <w:t xml:space="preserve"> (Milhões)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14.462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16.229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17.810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1F1B8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1F1B84">
              <w:rPr>
                <w:rFonts w:cstheme="majorHAnsi"/>
                <w:sz w:val="22"/>
              </w:rPr>
              <w:t>19.117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01EB2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001EB2">
              <w:rPr>
                <w:rFonts w:cstheme="majorHAnsi"/>
                <w:bCs/>
                <w:sz w:val="22"/>
              </w:rPr>
              <w:t>45.416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01EB2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001EB2">
              <w:rPr>
                <w:rFonts w:cstheme="majorHAnsi"/>
                <w:bCs/>
                <w:sz w:val="22"/>
              </w:rPr>
              <w:t>27.454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Percentual de cargos vagos de magistrados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37,6%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E3CB4">
              <w:rPr>
                <w:rFonts w:cstheme="majorHAnsi"/>
                <w:sz w:val="22"/>
              </w:rPr>
              <w:t>34,4%</w:t>
            </w:r>
          </w:p>
        </w:tc>
        <w:tc>
          <w:tcPr>
            <w:tcW w:w="1276" w:type="dxa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34,2</w:t>
            </w:r>
          </w:p>
        </w:tc>
        <w:tc>
          <w:tcPr>
            <w:tcW w:w="1276" w:type="dxa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35,5%</w:t>
            </w:r>
          </w:p>
        </w:tc>
        <w:tc>
          <w:tcPr>
            <w:tcW w:w="1276" w:type="dxa"/>
            <w:vAlign w:val="center"/>
          </w:tcPr>
          <w:p w:rsidR="003C31D5" w:rsidRPr="000E3C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36,7%</w:t>
            </w:r>
          </w:p>
        </w:tc>
        <w:tc>
          <w:tcPr>
            <w:tcW w:w="1276" w:type="dxa"/>
            <w:vAlign w:val="center"/>
          </w:tcPr>
          <w:p w:rsidR="003C31D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38,10%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Percentual de servidores lotados na área administrativa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9%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D6A1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0D6A15">
              <w:rPr>
                <w:rFonts w:cstheme="majorHAnsi"/>
                <w:bCs/>
                <w:sz w:val="22"/>
              </w:rPr>
              <w:t>10%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D6A1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0D6A15">
              <w:rPr>
                <w:rFonts w:cstheme="majorHAnsi"/>
                <w:bCs/>
                <w:sz w:val="22"/>
              </w:rPr>
              <w:t>9%</w:t>
            </w:r>
          </w:p>
        </w:tc>
      </w:tr>
      <w:tr w:rsidR="003C31D5" w:rsidRPr="000618C5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Casos novos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1.717.862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1.649.25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1.428.480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1.478.922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1.724.611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D6A15">
              <w:rPr>
                <w:rFonts w:cstheme="majorHAnsi"/>
                <w:sz w:val="22"/>
              </w:rPr>
              <w:t>6.863.658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Casos pendentes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3.942.814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3.772.400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3.940.277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4.369.191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4.271.123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4.041.123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Casos novos por 100 mil habitantes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7.187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7.027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6.133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6.265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7.303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8.786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produtividade dos magistrados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1.984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2.019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1.471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1.500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1.885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1.400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produtividade de servidores da área judiciária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150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154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118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124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152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109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Percentual de servidores (as) na área judiciária de primeiro grau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87%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 xml:space="preserve">Índice de atendimento à demanda (Geral) 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110,6%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116,5%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103,6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101,8%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D6A1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0D6A15">
              <w:rPr>
                <w:rFonts w:cstheme="majorHAnsi"/>
                <w:bCs/>
                <w:sz w:val="22"/>
              </w:rPr>
              <w:t>106,9%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D6A1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0D6A15">
              <w:rPr>
                <w:rFonts w:cstheme="majorHAnsi"/>
                <w:bCs/>
                <w:sz w:val="22"/>
              </w:rPr>
              <w:t>91%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Percentual de casos novos eletrônicos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39,5%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64,5%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83,7%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84,2%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8F0F5C">
              <w:rPr>
                <w:rFonts w:cstheme="majorHAnsi"/>
                <w:sz w:val="22"/>
              </w:rPr>
              <w:t>96,5%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8F0F5C">
              <w:rPr>
                <w:rFonts w:ascii="Calibri" w:hAnsi="Calibri" w:cs="Calibri"/>
                <w:b/>
                <w:bCs/>
                <w:sz w:val="22"/>
              </w:rPr>
              <w:t>98,40%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Percentual de unidades judiciárias de primeiro grau com Juízo 100% Digital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12%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47,8%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8F0F5C">
              <w:rPr>
                <w:rFonts w:cstheme="majorHAnsi"/>
                <w:sz w:val="22"/>
              </w:rPr>
              <w:t>99,1%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8F0F5C">
              <w:rPr>
                <w:rFonts w:cstheme="majorHAnsi"/>
                <w:sz w:val="22"/>
              </w:rPr>
              <w:t>92,20%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Quantidade de Núcleos de Justiça 4.0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8F0F5C">
              <w:rPr>
                <w:rFonts w:cstheme="majorHAnsi"/>
                <w:sz w:val="22"/>
              </w:rPr>
              <w:t>5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8F0F5C">
              <w:rPr>
                <w:rFonts w:cstheme="majorHAnsi"/>
                <w:b/>
                <w:bCs/>
                <w:sz w:val="22"/>
              </w:rPr>
              <w:t>9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lastRenderedPageBreak/>
              <w:t>Quantidade de Balcões Virtuais instalados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8F0F5C">
              <w:rPr>
                <w:rFonts w:cstheme="majorHAnsi"/>
                <w:bCs/>
                <w:sz w:val="22"/>
              </w:rPr>
              <w:t>1.421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sz w:val="22"/>
              </w:rPr>
            </w:pPr>
            <w:r w:rsidRPr="008F0F5C">
              <w:rPr>
                <w:rFonts w:cstheme="majorHAnsi"/>
                <w:b/>
                <w:sz w:val="22"/>
              </w:rPr>
              <w:t>1.485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Casos novos por magistrados - 1º grau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1.550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1.556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1.274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1.308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8F0F5C">
              <w:rPr>
                <w:rFonts w:cstheme="majorHAnsi"/>
                <w:sz w:val="22"/>
              </w:rPr>
              <w:t>1.649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8F0F5C">
              <w:rPr>
                <w:sz w:val="22"/>
              </w:rPr>
              <w:t>1.848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Casos novos por magistrados - 2º grau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1.760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1.602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1.448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1.502</w:t>
            </w:r>
          </w:p>
        </w:tc>
        <w:tc>
          <w:tcPr>
            <w:tcW w:w="1276" w:type="dxa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8F0F5C">
              <w:rPr>
                <w:rFonts w:cstheme="majorHAnsi"/>
                <w:sz w:val="22"/>
              </w:rPr>
              <w:t>1.388</w:t>
            </w:r>
          </w:p>
        </w:tc>
        <w:tc>
          <w:tcPr>
            <w:tcW w:w="1276" w:type="dxa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8F0F5C">
              <w:rPr>
                <w:sz w:val="22"/>
              </w:rPr>
              <w:t>2.106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Casos novos por servidor da área judiciária – 1º grau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115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116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100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105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8F0F5C">
              <w:rPr>
                <w:rFonts w:cstheme="majorHAnsi"/>
                <w:sz w:val="22"/>
              </w:rPr>
              <w:t>129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8F0F5C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8F0F5C">
              <w:rPr>
                <w:sz w:val="22"/>
              </w:rPr>
              <w:t>144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Casos novos por servidor da área judiciária – 2º grau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152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145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136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149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135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196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Carga de trabalho do magistrado – 1º grau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6.637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6.583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3.867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6.552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7.040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6.817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Carga de trabalho do magistrado – 2º grau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4.360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4.169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3.891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3.867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3.099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3.898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Carga de trabalho do servidor da área judiciária – 1º grau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492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490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462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527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551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531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Carga de trabalho do servidor da área judiciária – 2º grau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376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376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364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383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300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363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produtividade dos magistrados – 1º grau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2.045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2.079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1.503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1.498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1.966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1.936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produtividade dos magistrados – 2º grau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1.590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1.669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1.271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1.509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1.421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1.740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produtividade dos servidores da área judiciária – 1º grau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151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155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117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121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154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151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produtividade dos servidores da área judiciária – 2º grau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137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151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119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149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138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162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casos novos eletrônicos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83,7%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84,2%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96,5%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FE43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FE43B4">
              <w:rPr>
                <w:sz w:val="22"/>
              </w:rPr>
              <w:t>98,40%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casos novos eletrônicos – 1º grau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42%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66%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85%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85%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97%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FE43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FE43B4">
              <w:rPr>
                <w:sz w:val="22"/>
              </w:rPr>
              <w:t>98,00%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casos novos eletrônicos – 2º grau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53%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83%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91%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FE43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FE43B4">
              <w:rPr>
                <w:sz w:val="22"/>
              </w:rPr>
              <w:t>98,00%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atendimento à demanda – 1º grau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114%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118%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106%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102%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FE43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FE43B4">
              <w:rPr>
                <w:rFonts w:cstheme="majorHAnsi"/>
                <w:bCs/>
                <w:sz w:val="22"/>
              </w:rPr>
              <w:t>107%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FE43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sz w:val="22"/>
                <w:szCs w:val="20"/>
              </w:rPr>
            </w:pPr>
            <w:r w:rsidRPr="00FE43B4">
              <w:rPr>
                <w:sz w:val="22"/>
                <w:szCs w:val="20"/>
              </w:rPr>
              <w:t>87,00%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atendimento à demanda – 2º grau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90%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104%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100%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FE43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FE43B4">
              <w:rPr>
                <w:rFonts w:cstheme="majorHAnsi"/>
                <w:bCs/>
                <w:sz w:val="22"/>
              </w:rPr>
              <w:t>102%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FE43B4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sz w:val="22"/>
                <w:szCs w:val="20"/>
              </w:rPr>
            </w:pPr>
            <w:r w:rsidRPr="00FE43B4">
              <w:rPr>
                <w:sz w:val="22"/>
                <w:szCs w:val="20"/>
              </w:rPr>
              <w:t>83,00%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Taxa de congestionamento Total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67,5%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64,4%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72,7%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70,8%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66,5%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D12330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  <w:szCs w:val="20"/>
              </w:rPr>
            </w:pPr>
            <w:r w:rsidRPr="00D12330">
              <w:rPr>
                <w:sz w:val="22"/>
                <w:szCs w:val="20"/>
              </w:rPr>
              <w:t>68,90%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Taxa de congestionamento líquida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65,5%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66,2%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70,8%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74,4%%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69,9%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42380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  <w:szCs w:val="20"/>
              </w:rPr>
            </w:pPr>
            <w:r w:rsidRPr="0042380E">
              <w:rPr>
                <w:b/>
                <w:bCs/>
                <w:sz w:val="22"/>
                <w:szCs w:val="20"/>
              </w:rPr>
              <w:t>66,60%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Taxa de congestionamento – 1º grau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68%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68%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74%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76%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71%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71%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Taxa de congestionamento – 2º grau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58%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53%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62%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54%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52%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53%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Taxa de congestionamento na fase de conhecimento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66%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66%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74%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78%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lastRenderedPageBreak/>
              <w:t>Taxa de congestionamento na fase de execução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75%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72%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79%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84%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81%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67%</w:t>
            </w:r>
          </w:p>
        </w:tc>
      </w:tr>
      <w:tr w:rsidR="003C31D5" w:rsidRPr="00E66AF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recorribilidade interna (Geral)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9,9%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9,6%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12,2%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12,7%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s/d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recorribilidade externa (Geral)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7,7%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3,8%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3,6%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s/d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Recorribilidade interna – 1º grau (Conhecimento)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8,2%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7,9%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10,7%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11,2%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9,5%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9,5%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Recorribilidade interna – 2º grau (**)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17,9%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18,7%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18,7%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18,3%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5,3%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7%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Recorribilidade externa – 1º grau (Conhecimento)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17,5%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16,3%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Recorribilidade externa – 2º grau (**)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23%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22%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17%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23%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0,0%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0,0%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Percentual de casos pendentes de execução em relação ao estoque total de processos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32,7%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31,6%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27,8%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31,4%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30,8%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32,7%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 xml:space="preserve">Total de execuções fiscais pendentes 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463.524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423.882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407.160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451.845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396.967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B43622">
              <w:rPr>
                <w:rFonts w:cstheme="majorHAnsi"/>
                <w:sz w:val="22"/>
              </w:rPr>
              <w:t>279.866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Taxa de congestionamento na execução fiscal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74%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83%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86%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85%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82%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Centros judiciários de solução de conflitos na justiça estadual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143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166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212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285</w:t>
            </w:r>
          </w:p>
        </w:tc>
        <w:tc>
          <w:tcPr>
            <w:tcW w:w="1276" w:type="dxa"/>
            <w:vAlign w:val="center"/>
          </w:tcPr>
          <w:p w:rsidR="003C31D5" w:rsidRPr="00491C4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491C4E">
              <w:rPr>
                <w:rFonts w:cstheme="majorHAnsi"/>
                <w:bCs/>
                <w:sz w:val="22"/>
              </w:rPr>
              <w:t>299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sz w:val="22"/>
              </w:rPr>
            </w:pPr>
            <w:r>
              <w:rPr>
                <w:rFonts w:cstheme="majorHAnsi"/>
                <w:b/>
                <w:sz w:val="22"/>
              </w:rPr>
              <w:t>298</w:t>
            </w:r>
          </w:p>
        </w:tc>
      </w:tr>
      <w:tr w:rsidR="003C31D5" w:rsidRPr="000E3CB4" w:rsidTr="00AB5244">
        <w:trPr>
          <w:trHeight w:val="80"/>
        </w:trPr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conciliação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19,2%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16,1%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13,0%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12,5%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14,1%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491C4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491C4E">
              <w:rPr>
                <w:rFonts w:cstheme="majorHAnsi"/>
                <w:b/>
                <w:bCs/>
                <w:sz w:val="22"/>
              </w:rPr>
              <w:t>13,8%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conciliação, 1º grau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21,2%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17,7%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14,5%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14,3%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15,5%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491C4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491C4E">
              <w:rPr>
                <w:rFonts w:cstheme="majorHAnsi"/>
                <w:b/>
                <w:bCs/>
                <w:sz w:val="22"/>
              </w:rPr>
              <w:t>20,8%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Índice de conciliação 2º grau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0,2%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 xml:space="preserve"> 0,2%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0,2%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0,5%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0%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0,3%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Tempo médio até a sentença no 1º grau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3a e 4m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3a e 4m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3a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2a e 3m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2a e 3m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2a e 5m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Tempo médio até a sentença no 2º grau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5m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8m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7m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7m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5m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10m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 xml:space="preserve">Tempo de giro do acervo 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2a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2a e 8m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2a e 11m</w:t>
            </w:r>
          </w:p>
        </w:tc>
        <w:tc>
          <w:tcPr>
            <w:tcW w:w="1276" w:type="dxa"/>
            <w:vAlign w:val="center"/>
          </w:tcPr>
          <w:p w:rsidR="003C31D5" w:rsidRPr="00491C4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Cs/>
                <w:sz w:val="22"/>
              </w:rPr>
            </w:pPr>
            <w:r w:rsidRPr="00491C4E">
              <w:rPr>
                <w:rFonts w:cstheme="majorHAnsi"/>
                <w:bCs/>
                <w:sz w:val="22"/>
              </w:rPr>
              <w:t>2a e 4m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sz w:val="22"/>
              </w:rPr>
            </w:pPr>
            <w:r>
              <w:rPr>
                <w:rFonts w:cstheme="majorHAnsi"/>
                <w:b/>
                <w:sz w:val="22"/>
              </w:rPr>
              <w:t>2a e 3m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Tempo médio dos processos físicos pendentes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5a e 11m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7a e 2m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Tempo médio dos processos eletrônicos pendentes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s/d</w:t>
            </w:r>
          </w:p>
        </w:tc>
        <w:tc>
          <w:tcPr>
            <w:tcW w:w="1276" w:type="dxa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2a e 10m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C31D5" w:rsidRPr="00491C4E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b/>
                <w:bCs/>
                <w:sz w:val="22"/>
              </w:rPr>
            </w:pPr>
            <w:r w:rsidRPr="00491C4E">
              <w:rPr>
                <w:rFonts w:cstheme="majorHAnsi"/>
                <w:b/>
                <w:bCs/>
                <w:sz w:val="22"/>
              </w:rPr>
              <w:t>1a e 11m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Casos novos criminais, excluídas as execuções penais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245.327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257.645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211.165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227.906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355.278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411.313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Casos pendentes criminais, excluídas as execuções penais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500.658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494.353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524.809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566.635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766.828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627.406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Resultado do IPC-Jus total por tribunal (incluída a área administrativa)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74%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77%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80%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86%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61%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Resultado do IPC-Jus da área judiciária, por instância e tribunal. 1º grau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79%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68%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73%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75%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84%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56%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 xml:space="preserve">Resultado do IPC-Jus da área judiciária, por instância e tribunal. 2º grau 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77%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83%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62%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68%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77%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lastRenderedPageBreak/>
              <w:t xml:space="preserve">Índice de produtividade dos magistrados (IPM) realizado x necessário para que tribunal atinja IPC-Jus de 100%. 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1.984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2.384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2.019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2.640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1.471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1.889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1.500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1.853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1.885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2.179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C31D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1.906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3.068</w:t>
            </w:r>
          </w:p>
        </w:tc>
      </w:tr>
      <w:tr w:rsidR="003C31D5" w:rsidRPr="000E3CB4" w:rsidTr="00AB5244"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 xml:space="preserve">Índice de produtividade dos servidores (IPS) realizado x necessário para que tribunal atinja IPC-Jus de 100%. 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124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149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127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166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99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127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104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128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123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143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3C31D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126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203</w:t>
            </w:r>
          </w:p>
        </w:tc>
      </w:tr>
      <w:tr w:rsidR="003C31D5" w:rsidRPr="000E3CB4" w:rsidTr="00AB5244">
        <w:tc>
          <w:tcPr>
            <w:tcW w:w="297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left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Taxa de congestionamento líquida (TCL) realizado x resultado da consequência se tribunal atingisse IPC-Jus 100%. TCL realizado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61%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66%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58%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64%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65%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71%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66%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71%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64%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 w:rsidRPr="000272AA">
              <w:rPr>
                <w:rFonts w:cstheme="majorHAnsi"/>
                <w:sz w:val="22"/>
              </w:rPr>
              <w:t>66%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3C31D5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67%</w:t>
            </w:r>
          </w:p>
          <w:p w:rsidR="003C31D5" w:rsidRPr="000272AA" w:rsidRDefault="003C31D5" w:rsidP="00AB5244">
            <w:pPr>
              <w:spacing w:before="0" w:after="0" w:line="240" w:lineRule="auto"/>
              <w:jc w:val="center"/>
              <w:rPr>
                <w:rFonts w:cstheme="majorHAnsi"/>
                <w:sz w:val="22"/>
              </w:rPr>
            </w:pPr>
            <w:r>
              <w:rPr>
                <w:rFonts w:cstheme="majorHAnsi"/>
                <w:sz w:val="22"/>
              </w:rPr>
              <w:t>56%</w:t>
            </w:r>
          </w:p>
        </w:tc>
      </w:tr>
    </w:tbl>
    <w:p w:rsidR="003C31D5" w:rsidRPr="00476F8B" w:rsidRDefault="003C31D5" w:rsidP="003C31D5">
      <w:pPr>
        <w:contextualSpacing/>
        <w:rPr>
          <w:rFonts w:cstheme="minorHAnsi"/>
          <w:color w:val="000099"/>
          <w:sz w:val="16"/>
          <w:szCs w:val="16"/>
        </w:rPr>
      </w:pPr>
    </w:p>
    <w:bookmarkStart w:id="0" w:name="_GoBack"/>
    <w:p w:rsidR="003C31D5" w:rsidRPr="000272AA" w:rsidRDefault="003C31D5" w:rsidP="003C31D5">
      <w:pPr>
        <w:spacing w:before="0" w:after="0"/>
        <w:jc w:val="left"/>
        <w:rPr>
          <w:rFonts w:cstheme="minorHAnsi"/>
          <w:sz w:val="16"/>
          <w:szCs w:val="16"/>
        </w:rPr>
      </w:pP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TC  "</w:instrText>
      </w:r>
      <w:bookmarkStart w:id="1" w:name="_Toc189119819"/>
      <w:r w:rsidRPr="000272AA">
        <w:rPr>
          <w:rFonts w:cstheme="minorHAnsi"/>
          <w:sz w:val="16"/>
          <w:szCs w:val="16"/>
        </w:rPr>
        <w:instrText xml:space="preserve">Tabela </w:instrText>
      </w:r>
      <w:r>
        <w:rPr>
          <w:rFonts w:cstheme="minorHAnsi"/>
          <w:sz w:val="16"/>
          <w:szCs w:val="16"/>
        </w:rPr>
        <w:instrText>12</w:instrText>
      </w:r>
      <w:r w:rsidRPr="000272AA">
        <w:rPr>
          <w:rFonts w:cstheme="minorHAnsi"/>
          <w:sz w:val="16"/>
          <w:szCs w:val="16"/>
        </w:rPr>
        <w:instrText xml:space="preserve"> </w:instrText>
      </w:r>
      <w:r>
        <w:rPr>
          <w:sz w:val="16"/>
          <w:szCs w:val="16"/>
        </w:rPr>
        <w:instrText>-</w:instrText>
      </w:r>
      <w:r w:rsidRPr="000272AA">
        <w:rPr>
          <w:rFonts w:cstheme="minorHAnsi"/>
          <w:sz w:val="16"/>
          <w:szCs w:val="16"/>
        </w:rPr>
        <w:instrText xml:space="preserve"> Dados estatísticos do Relatório Justiça em Números</w:instrText>
      </w:r>
      <w:bookmarkEnd w:id="1"/>
      <w:r>
        <w:rPr>
          <w:sz w:val="16"/>
          <w:szCs w:val="16"/>
        </w:rPr>
        <w:instrText xml:space="preserve">”\f t\l 1 </w:instrText>
      </w:r>
      <w:r>
        <w:rPr>
          <w:sz w:val="16"/>
          <w:szCs w:val="16"/>
        </w:rPr>
        <w:fldChar w:fldCharType="end"/>
      </w:r>
      <w:r w:rsidRPr="000272AA">
        <w:rPr>
          <w:rFonts w:cstheme="minorHAnsi"/>
          <w:sz w:val="16"/>
          <w:szCs w:val="16"/>
        </w:rPr>
        <w:t xml:space="preserve">Tabela </w:t>
      </w:r>
      <w:r>
        <w:rPr>
          <w:rFonts w:cstheme="minorHAnsi"/>
          <w:sz w:val="16"/>
          <w:szCs w:val="16"/>
        </w:rPr>
        <w:t>12</w:t>
      </w:r>
      <w:r w:rsidRPr="000272AA">
        <w:rPr>
          <w:rFonts w:cstheme="minorHAnsi"/>
          <w:sz w:val="16"/>
          <w:szCs w:val="16"/>
        </w:rPr>
        <w:t xml:space="preserve"> </w:t>
      </w:r>
      <w:bookmarkEnd w:id="0"/>
      <w:r>
        <w:rPr>
          <w:sz w:val="16"/>
          <w:szCs w:val="16"/>
        </w:rPr>
        <w:t>-</w:t>
      </w:r>
      <w:r w:rsidRPr="000272AA">
        <w:rPr>
          <w:rFonts w:cstheme="minorHAnsi"/>
          <w:sz w:val="16"/>
          <w:szCs w:val="16"/>
        </w:rPr>
        <w:t xml:space="preserve"> Dados estatísticos do Relatório Justiça em Números – Edições 2019 a 202</w:t>
      </w:r>
      <w:r>
        <w:rPr>
          <w:rFonts w:cstheme="minorHAnsi"/>
          <w:sz w:val="16"/>
          <w:szCs w:val="16"/>
        </w:rPr>
        <w:t>4</w:t>
      </w:r>
      <w:r w:rsidRPr="000272AA">
        <w:rPr>
          <w:rFonts w:cstheme="minorHAnsi"/>
          <w:sz w:val="16"/>
          <w:szCs w:val="16"/>
        </w:rPr>
        <w:t>/CNJ.</w:t>
      </w:r>
    </w:p>
    <w:p w:rsidR="003C31D5" w:rsidRPr="000272AA" w:rsidRDefault="003C31D5" w:rsidP="003C31D5">
      <w:pPr>
        <w:spacing w:before="0" w:after="0"/>
        <w:rPr>
          <w:rFonts w:cstheme="minorHAnsi"/>
          <w:sz w:val="16"/>
          <w:szCs w:val="16"/>
        </w:rPr>
      </w:pPr>
      <w:r w:rsidRPr="000272AA">
        <w:rPr>
          <w:rFonts w:cstheme="minorHAnsi"/>
          <w:sz w:val="16"/>
          <w:szCs w:val="16"/>
        </w:rPr>
        <w:t>Legenda: s/d = Dados não encontrados no Relatório Justiça em Números do Período</w:t>
      </w:r>
      <w:r>
        <w:rPr>
          <w:rFonts w:cstheme="minorHAnsi"/>
          <w:sz w:val="16"/>
          <w:szCs w:val="16"/>
        </w:rPr>
        <w:t>.</w:t>
      </w:r>
    </w:p>
    <w:p w:rsidR="003C31D5" w:rsidRPr="000272AA" w:rsidRDefault="003C31D5" w:rsidP="003C31D5">
      <w:pPr>
        <w:spacing w:before="0" w:after="0"/>
        <w:rPr>
          <w:rFonts w:cstheme="minorHAnsi"/>
          <w:sz w:val="16"/>
          <w:szCs w:val="16"/>
        </w:rPr>
      </w:pPr>
      <w:r w:rsidRPr="000272AA">
        <w:rPr>
          <w:rFonts w:cstheme="minorHAnsi"/>
          <w:sz w:val="16"/>
          <w:szCs w:val="16"/>
        </w:rPr>
        <w:t>(*) O indicador considera: número de servidores(as) (efetivos(as), requisitados(as), cedidos(as) e comissionados(as) sem vínculo efetivo); e número de trabalhadores(as) auxiliares (terceirizados(as), estagiários(as), juízes(as) leigos(as) e conciliadores(as).</w:t>
      </w:r>
    </w:p>
    <w:p w:rsidR="003A16E9" w:rsidRDefault="003A16E9"/>
    <w:sectPr w:rsidR="003A1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D5"/>
    <w:rsid w:val="002C7A71"/>
    <w:rsid w:val="003A16E9"/>
    <w:rsid w:val="003C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8F74A-8BDD-4664-862B-8F07764C6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31D5"/>
    <w:pPr>
      <w:spacing w:before="120" w:after="120" w:line="360" w:lineRule="auto"/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qFormat/>
    <w:rsid w:val="003C31D5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3C31D5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3C31D5"/>
    <w:pPr>
      <w:spacing w:line="240" w:lineRule="auto"/>
    </w:pPr>
    <w:rPr>
      <w:sz w:val="20"/>
      <w:szCs w:val="20"/>
    </w:rPr>
  </w:style>
  <w:style w:type="character" w:customStyle="1" w:styleId="TextodecomentrioChar1">
    <w:name w:val="Texto de comentário Char1"/>
    <w:basedOn w:val="Fontepargpadro"/>
    <w:uiPriority w:val="99"/>
    <w:semiHidden/>
    <w:rsid w:val="003C31D5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C31D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31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1062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Eller</dc:creator>
  <cp:keywords/>
  <dc:description/>
  <cp:lastModifiedBy>Daniel Augusto Eller</cp:lastModifiedBy>
  <cp:revision>1</cp:revision>
  <dcterms:created xsi:type="dcterms:W3CDTF">2025-11-12T14:46:00Z</dcterms:created>
  <dcterms:modified xsi:type="dcterms:W3CDTF">2025-11-12T14:46:00Z</dcterms:modified>
</cp:coreProperties>
</file>