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Teste de Tabela Estilizada (3.1 Atos Normativos)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9071"/>
      </w:tblGrid>
      <w:tr>
        <w:trPr>
          <w:tblHeader/>
        </w:trPr>
        <w:tc>
          <w:tcPr>
            <w:tcW w:type="dxa" w:w="4320"/>
            <w:vAlign w:val="center"/>
            <w:shd w:fill="7F7F7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4"/>
              </w:rPr>
              <w:t>Ato Normativo</w:t>
            </w:r>
          </w:p>
        </w:tc>
        <w:tc>
          <w:tcPr>
            <w:tcW w:type="dxa" w:w="4320"/>
            <w:vAlign w:val="center"/>
            <w:shd w:fill="7F7F7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4"/>
              </w:rPr>
              <w:t>Estrutura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Lei Complementar nº 59/2001</w:t>
            </w:r>
          </w:p>
        </w:tc>
        <w:tc>
          <w:tcPr>
            <w:tcW w:type="dxa" w:w="9071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Contém a organização e a divisão judiciárias do Estado de Minas Gerais.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do Tribunal Pleno nº 03/2012</w:t>
            </w:r>
          </w:p>
        </w:tc>
        <w:tc>
          <w:tcPr>
            <w:tcW w:type="dxa" w:w="9071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Contém o Regimento Interno do Tribunal de Justiça.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518/2007</w:t>
            </w:r>
          </w:p>
        </w:tc>
        <w:tc>
          <w:tcPr>
            <w:tcW w:type="dxa" w:w="9071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Dispõe sobre os níveis hierárquicos e as atribuições gerais das unidades organizacionais que integram a Secretaria do Tribunal de Justiça do Estado de Minas Gerais.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522/2007</w:t>
            </w:r>
          </w:p>
        </w:tc>
        <w:tc>
          <w:tcPr>
            <w:tcW w:type="dxa" w:w="9071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Dispõe sobre a Superintendência Administrativa: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Superintendente Administrativo;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Diretoria Executiva da Gestão de Bens, Serviços e Patrimônio;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Diretoria Executiva de Engenharia e Gestão Predial;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Diretoria Executiva de Informática.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557/2008</w:t>
            </w:r>
          </w:p>
        </w:tc>
        <w:tc>
          <w:tcPr>
            <w:tcW w:type="dxa" w:w="9071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Dispõe sobre a criação da Comissão Estadual Judiciária de Adoção, CEJA-MG.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640/2010</w:t>
            </w:r>
          </w:p>
        </w:tc>
        <w:tc>
          <w:tcPr>
            <w:tcW w:type="dxa" w:w="9071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Cria a Coordenadoria da Infância e da Juventude.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673/2011</w:t>
            </w:r>
          </w:p>
        </w:tc>
        <w:tc>
          <w:tcPr>
            <w:tcW w:type="dxa" w:w="9071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Cria a Coordenadoria da Mulher em Situação de Violência Doméstica e Familiar.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821/2016</w:t>
            </w:r>
          </w:p>
        </w:tc>
        <w:tc>
          <w:tcPr>
            <w:tcW w:type="dxa" w:w="9071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Dispõe sobre a reestruturação da Corregedoria Geral de Justiça.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862/2017</w:t>
            </w:r>
          </w:p>
        </w:tc>
        <w:tc>
          <w:tcPr>
            <w:tcW w:type="dxa" w:w="9071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Dispõe sobre a estrutura e o funcionamento da Ouvidoria do Tribunal de Justiça do Estado de Minas Gerais.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873/2018</w:t>
            </w:r>
          </w:p>
        </w:tc>
        <w:tc>
          <w:tcPr>
            <w:tcW w:type="dxa" w:w="9071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Dispõe sobre a estrutura e o funcionamento do Núcleo Permanente de Métodos de Solução de Conflitos, da Superintendência da Gestão de Inovação e do órgão jurisdicional da Secretaria do Tribunal de Justiça diretamente vinculado à Terceira Vice-Presidência, e estabelece normas para a instalação dos Centros Judiciários de Solução de Conflitos e Cidadania.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877/2018</w:t>
            </w:r>
          </w:p>
        </w:tc>
        <w:tc>
          <w:tcPr>
            <w:tcW w:type="dxa" w:w="9071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Instala, "ad referendum" do Órgão Especial, a 19ª Câmara Cível no Tribunal de Justiça.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n° 878/2018</w:t>
            </w:r>
          </w:p>
        </w:tc>
        <w:tc>
          <w:tcPr>
            <w:tcW w:type="dxa" w:w="9071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Referenda a instalação da Câmara de que trata o art. 7º da Lei Complementar estadual nº 146, de 9 de janeiro de 2018, promovida pela Resolução nº 877, de 29 de junho de 2018.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886/2019</w:t>
            </w:r>
          </w:p>
        </w:tc>
        <w:tc>
          <w:tcPr>
            <w:tcW w:type="dxa" w:w="9071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Determina a instalação da 8ª Câmara Criminal no Tribunal de Justiça.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893/2019</w:t>
            </w:r>
          </w:p>
        </w:tc>
        <w:tc>
          <w:tcPr>
            <w:tcW w:type="dxa" w:w="9071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Determina a instalação da 20ª Câmara Cível no Tribunal de Justiça.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n° 969/2021</w:t>
            </w:r>
          </w:p>
        </w:tc>
        <w:tc>
          <w:tcPr>
            <w:tcW w:type="dxa" w:w="9071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Dispõe sobre os Comitês de Assessoramento à Presidência, estabelece a estrutura e o funcionamento das unidades organizacionais da Secretaria do Tribunal de Justiça diretamente vinculadas ou subordinadas à Presidência: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Comitê de Governança e Gestão Estratégica;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Comitê Executivo de Gestão Institucional;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Comitê Institucional de Inteligência;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Comitê de Monitoramento e Suporte à Prestação Jurisdicional;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Comitê de Tecnologia da Informação e Comunicação;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Comitê Gestor de Segurança da Informação;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Comitê Gestor da Política Judiciária para a Primeira Infância; (Alínea acrescentada pela Resolução do Órgão Especial nº 1052/2023).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Comitê Gestor Regional de Primeira Instância. (Alínea acrescentada pela Resolução do Órgão Especial nº 1063/2023).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Secretaria de Governança e Gestão Estratégica;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Diretoria Executiva de Comunicação;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Gabinete de Segurança Institucional;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Diretoria Executiva de Planejamento Orçamentário e Qualidade na Gestão Institucional;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Gerência de Suporte aos Juizados Especiais;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Secretaria do Órgão Especial;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Assessoria de Precatórios;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Secretaria de Auditoria Interna;</w:t>
            </w:r>
          </w:p>
          <w:p>
            <w:pPr>
              <w:pStyle w:val="ListBullet"/>
              <w:jc w:val="left"/>
              <w:spacing w:line="240" w:lineRule="auto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Memória do Judiciário.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971/2021</w:t>
            </w:r>
          </w:p>
        </w:tc>
        <w:tc>
          <w:tcPr>
            <w:tcW w:type="dxa" w:w="9071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Institui o Programa de Justiça Restaurativa e dispõe sobre a estrutura e funcionamento do Comitê de Justiça Restaurativa - COMJUR e da Central de Apoio à Justiça Restaurativa – CEAJUR.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977/2021</w:t>
            </w:r>
          </w:p>
        </w:tc>
        <w:tc>
          <w:tcPr>
            <w:tcW w:type="dxa" w:w="9071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Determina a instalação da Vigésima Primeira Câmara Cível e da Nona Câmara Criminal, a especialização de Câmaras no Tribunal de Justiça.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979/2021</w:t>
            </w:r>
          </w:p>
        </w:tc>
        <w:tc>
          <w:tcPr>
            <w:tcW w:type="dxa" w:w="9071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Dispõe sobre a estrutura organizacional e o regulamento da Escola Judicial Desembargador Edésio Fernandes - EJEF.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1053/2023</w:t>
            </w:r>
          </w:p>
        </w:tc>
        <w:tc>
          <w:tcPr>
            <w:tcW w:type="dxa" w:w="9071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Dispõe sobre a Superintendência Judiciária.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1062/2023</w:t>
            </w:r>
          </w:p>
        </w:tc>
        <w:tc>
          <w:tcPr>
            <w:tcW w:type="dxa" w:w="9071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Altera a Resolução do Órgão Especial nº 979, de 17 de novembro de 2021, que "Dispõe sobre a estrutura organizacional e o regulamento da Escola Judicial Desembargador Edésio Fernandes - EJEF".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1063/2023</w:t>
            </w:r>
          </w:p>
        </w:tc>
        <w:tc>
          <w:tcPr>
            <w:tcW w:type="dxa" w:w="9071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Dispõe sobre a organização e o funcionamento do Comitê Gestor Regional de Primeira Instância no âmbito do Poder Judiciário do Estado de Minas Gerais.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1066/2023</w:t>
            </w:r>
          </w:p>
        </w:tc>
        <w:tc>
          <w:tcPr>
            <w:tcW w:type="dxa" w:w="9071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Dispõe sobre a estrutura e o funcionamento do Grupo de Monitoramento e Fiscalização do Sistema Carcerário e Socioeducativo - GMF no âmbito do Tribunal de Justiça do Estado de Minas Gerais.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1079/2024</w:t>
            </w:r>
          </w:p>
        </w:tc>
        <w:tc>
          <w:tcPr>
            <w:tcW w:type="dxa" w:w="9071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Altera a Resolução do Órgão Especial nº 979, de 17 de novembro de 2021, que "Dispõe sobre a estrutura organizacional e o regulamento da Escola Judicial Desembargador Edésio Fernandes - EJEF.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1080/2024</w:t>
            </w:r>
          </w:p>
        </w:tc>
        <w:tc>
          <w:tcPr>
            <w:tcW w:type="dxa" w:w="9071"/>
            <w:vAlign w:val="center"/>
            <w:shd w:fill="EEEEEE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Institui o Regulamento da Escola Judicial Desembargador Edésio Fernandes - EJEF.</w:t>
            </w:r>
          </w:p>
        </w:tc>
      </w:tr>
      <w:tr>
        <w:trPr>
          <w:cantSplit w:val="0"/>
        </w:trPr>
        <w:tc>
          <w:tcPr>
            <w:tcW w:type="dxa" w:w="2835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Resolução nº 1086/2024</w:t>
            </w:r>
          </w:p>
        </w:tc>
        <w:tc>
          <w:tcPr>
            <w:tcW w:type="dxa" w:w="9071"/>
            <w:vAlign w:val="center"/>
          </w:tcPr>
          <w:p>
            <w:pPr>
              <w:spacing w:after="16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4"/>
              </w:rPr>
              <w:t>Altera a Resolução do Órgão Especial nº 1.010, de 29 de agosto de 2020, que "Dispõe sobre a implementação, a estrutura e o funcionamento dos "Núcleos de Justiça 4.0" e dá outras providências", e altera a Resolução do Órgão Especial nº 1.053, de 20 de setembro de 2023, que "Dispõe sobre a Superintendência Judiciária e dá outras providências".</w:t>
            </w:r>
          </w:p>
        </w:tc>
      </w:tr>
    </w:tbl>
    <w:p>
      <w:pPr>
        <w:spacing w:before="120" w:after="240"/>
        <w:jc w:val="left"/>
      </w:pPr>
      <w:r>
        <w:rPr>
          <w:rFonts w:ascii="Calibri" w:hAnsi="Calibri"/>
          <w:b w:val="0"/>
          <w:sz w:val="16"/>
        </w:rPr>
        <w:t>Tabela 01 - Atos Normativos referentes à Estrutura do TJMG. Fonte: Portal TJMG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