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Teste de Tabela 06 - Processos Distribuídos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1209"/>
        <w:gridCol w:w="1209"/>
        <w:gridCol w:w="1209"/>
        <w:gridCol w:w="1209"/>
        <w:gridCol w:w="1209"/>
        <w:gridCol w:w="1209"/>
      </w:tblGrid>
      <w:tr>
        <w:trPr>
          <w:trHeight w:val="284" w:hRule="exact"/>
          <w:tblHeader/>
        </w:trPr>
        <w:tc>
          <w:tcPr>
            <w:tcW w:type="dxa" w:w="9068"/>
            <w:gridSpan w:val="7"/>
            <w:shd w:fill="7F7F7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PROCESSOS DISTRIBUÍDOS</w:t>
            </w:r>
          </w:p>
        </w:tc>
      </w:tr>
      <w:tr>
        <w:trPr>
          <w:trHeight w:val="284" w:hRule="exact"/>
          <w:tblHeader/>
        </w:trPr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Instância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2020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2021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2022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2023</w:t>
            </w:r>
          </w:p>
        </w:tc>
        <w:tc>
          <w:tcPr>
            <w:tcW w:type="dxa" w:w="1209"/>
            <w:vAlign w:val="center"/>
            <w:shd w:fill="44546A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2024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Média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Justiça Comum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1.191.628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1.365.924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1.565.819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1.710.153</w:t>
            </w:r>
          </w:p>
        </w:tc>
        <w:tc>
          <w:tcPr>
            <w:tcW w:type="dxa" w:w="1209"/>
            <w:vAlign w:val="center"/>
            <w:shd w:fill="D5DCE4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1.675.686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1.501.842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Juizado Especial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534.375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536.797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558.504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622.683</w:t>
            </w:r>
          </w:p>
        </w:tc>
        <w:tc>
          <w:tcPr>
            <w:tcW w:type="dxa" w:w="1209"/>
            <w:vAlign w:val="center"/>
            <w:shd w:fill="D5DCE4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661.356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582.743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Turma Recursal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56.088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84.268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84.215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93.299</w:t>
            </w:r>
          </w:p>
        </w:tc>
        <w:tc>
          <w:tcPr>
            <w:tcW w:type="dxa" w:w="1209"/>
            <w:vAlign w:val="center"/>
            <w:shd w:fill="D5DCE4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103.728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84.320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2º Grau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199.457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222.614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227.760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271.256</w:t>
            </w:r>
          </w:p>
        </w:tc>
        <w:tc>
          <w:tcPr>
            <w:tcW w:type="dxa" w:w="1209"/>
            <w:vAlign w:val="center"/>
            <w:shd w:fill="D5DCE4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334.528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251.123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Total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1.981.548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2.209.603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2.436.298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2.697.391</w:t>
            </w:r>
          </w:p>
        </w:tc>
        <w:tc>
          <w:tcPr>
            <w:tcW w:type="dxa" w:w="1209"/>
            <w:vAlign w:val="center"/>
            <w:shd w:fill="D5DCE4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2.775.298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2.420.028</w:t>
            </w:r>
          </w:p>
        </w:tc>
      </w:tr>
    </w:tbl>
    <w:p>
      <w:pPr>
        <w:spacing w:before="120" w:after="240"/>
        <w:jc w:val="left"/>
      </w:pPr>
      <w:r>
        <w:rPr>
          <w:rFonts w:ascii="Calibri" w:hAnsi="Calibri"/>
          <w:b w:val="0"/>
          <w:sz w:val="16"/>
        </w:rPr>
        <w:t>Tabela 06 - Número de processos distribuídos. Fonte: Centro de Informações para a Gestão Institucional – CEINFO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