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50B" w:rsidRPr="00F014A2" w:rsidRDefault="00632E57" w:rsidP="00632E57">
      <w:pPr>
        <w:rPr>
          <w:sz w:val="40"/>
          <w:szCs w:val="40"/>
        </w:rPr>
      </w:pPr>
      <w:bookmarkStart w:id="0" w:name="_Toc189202869"/>
      <w:r w:rsidRPr="00632E57">
        <w:t>1.</w:t>
      </w:r>
      <w:r>
        <w:t xml:space="preserve"> </w:t>
      </w:r>
      <w:r w:rsidR="00FA750B" w:rsidRPr="00FA4086">
        <w:t>INTRODUÇÃO</w:t>
      </w:r>
      <w:bookmarkEnd w:id="0"/>
    </w:p>
    <w:p w:rsidR="00FA750B" w:rsidRPr="005A5D3B" w:rsidRDefault="00FA750B" w:rsidP="00FA750B">
      <w:pPr>
        <w:rPr>
          <w:rFonts w:cstheme="minorHAnsi"/>
        </w:rPr>
      </w:pPr>
      <w:r w:rsidRPr="005A5D3B">
        <w:rPr>
          <w:rFonts w:cstheme="minorHAnsi"/>
        </w:rPr>
        <w:t xml:space="preserve">O relatório diagnóstico elaborado anualmente pela Diretoria Executiva de Planejamento Orçamentário e Qualidade na Gestão Institucional – DEPLAG, com o apoio de sua Assessoria Técnica e Jurídica ao Planejamento e à Gestão Institucional - ASPLAG, é uma ferramenta-guia que compreende aspectos internos da </w:t>
      </w:r>
      <w:r w:rsidRPr="00632E57">
        <w:rPr>
          <w:rFonts w:cstheme="minorHAnsi"/>
          <w:u w:val="single"/>
        </w:rPr>
        <w:t>instituição</w:t>
      </w:r>
      <w:r w:rsidRPr="005A5D3B">
        <w:rPr>
          <w:rFonts w:cstheme="minorHAnsi"/>
        </w:rPr>
        <w:t xml:space="preserve"> incluindo informações sobre o perfil, estrutura e o desempenho do Tribunal de Justiça do Estado de Minas Gerais – TJMG, considerando o contexto no qual está inserido e, tem por objetivo subsidiar a elaboração e a atualização do Planejamento Estratégico do Tribunal para o período 2021-2026.</w:t>
      </w:r>
    </w:p>
    <w:p w:rsidR="00FA750B" w:rsidRPr="005A5D3B" w:rsidRDefault="00FA750B" w:rsidP="00FA750B">
      <w:pPr>
        <w:rPr>
          <w:rFonts w:cstheme="minorHAnsi"/>
        </w:rPr>
      </w:pPr>
      <w:r w:rsidRPr="005A5D3B">
        <w:rPr>
          <w:rFonts w:cstheme="minorHAnsi"/>
        </w:rPr>
        <w:t>O relatório identifica necessidades e áreas de melhoria a partir de informações constantes em painéis gerenciais do Tribunal de Justiça do Estado de Minas Gerais - TJMG ou do Conselho Nacional de Justiça - CNJ, bem como, a partir de informações fornecidas pelas áreas da Secretaria do TJMG.</w:t>
      </w:r>
    </w:p>
    <w:p w:rsidR="00FA750B" w:rsidRPr="005A5D3B" w:rsidRDefault="00FA750B" w:rsidP="00FA750B">
      <w:pPr>
        <w:rPr>
          <w:rFonts w:cstheme="minorHAnsi"/>
        </w:rPr>
      </w:pPr>
      <w:r w:rsidRPr="005A5D3B">
        <w:rPr>
          <w:rFonts w:cstheme="minorHAnsi"/>
        </w:rPr>
        <w:t>O TJMG estabeleceu sua Estratégia para o ciclo 2021/2026, por meio da Resolução nº 952/2020, vigente desde 1º de janeiro de 2021, focando na “Estratégia Nacional do Poder Judiciário”, para o período 2021-2026, estabelecida na Resolução do Conselho Nacional de Justiça nº 325, de 29 de junho de 2020, e considerando os desafios contemporâneos que circundam o Poder Judiciário.</w:t>
      </w:r>
      <w:bookmarkStart w:id="1" w:name="_GoBack"/>
      <w:bookmarkEnd w:id="1"/>
    </w:p>
    <w:p w:rsidR="00FA750B" w:rsidRPr="005A5D3B" w:rsidRDefault="00FA750B" w:rsidP="00FA750B">
      <w:pPr>
        <w:rPr>
          <w:rFonts w:cstheme="minorHAnsi"/>
        </w:rPr>
      </w:pPr>
      <w:r w:rsidRPr="005A5D3B">
        <w:rPr>
          <w:rFonts w:cstheme="minorHAnsi"/>
        </w:rPr>
        <w:t>Em vista disso, com a finalidade de auxiliar no desenvolvimento de estratégias futuras do TJMG, o presente relatório atualiza, consolida e complementa relevantes informações sobre o perfil da Instituição, sobre o desempenho nos principais indicadores relacionados tanto à prestação jurisdicional quanto às questões administrativas, diretrizes nacionais atinentes à Estratégia Nacional do Poder Judiciário e às prioridades da atual gestão do Tribunal de Justiça do Estado de Minas Gerais – TJMG.</w:t>
      </w:r>
    </w:p>
    <w:p w:rsidR="00FA750B" w:rsidRDefault="00FA750B" w:rsidP="00FA750B">
      <w:pPr>
        <w:rPr>
          <w:rFonts w:cstheme="minorHAnsi"/>
        </w:rPr>
      </w:pPr>
      <w:r w:rsidRPr="005A5D3B">
        <w:rPr>
          <w:rFonts w:cstheme="minorHAnsi"/>
        </w:rPr>
        <w:t xml:space="preserve">Certamente, ao identificar seus pontos fracos e reconhecer suas qualidades e habilidades, a Instituição potencializa a promoção de ações no sentido de neutralizar as ameaças e aproveitar as oportunidades atinentes ao ambiente externo, além de viabilizar ganhos de eficiência e eficácia estruturais no âmbito interno, fomentando desta forma, os resultados almejados. Além disso, permite avaliar os caminhos </w:t>
      </w:r>
      <w:r w:rsidRPr="005A5D3B">
        <w:rPr>
          <w:rFonts w:cstheme="minorHAnsi"/>
        </w:rPr>
        <w:lastRenderedPageBreak/>
        <w:t>escolhidos e as iniciativas adotadas, no sentido de verificar se estamos na direção do cumprimento de nossa missão e do atingimento de nossa visão de futuro.</w:t>
      </w:r>
    </w:p>
    <w:p w:rsidR="00FA750B" w:rsidRPr="005A5D3B" w:rsidRDefault="00FA750B" w:rsidP="00FA750B">
      <w:pPr>
        <w:rPr>
          <w:rFonts w:cstheme="minorHAnsi"/>
        </w:rPr>
      </w:pPr>
    </w:p>
    <w:p w:rsidR="00FA750B" w:rsidRPr="00335937" w:rsidRDefault="00632E57" w:rsidP="00335937">
      <w:bookmarkStart w:id="2" w:name="_Toc189202870"/>
      <w:r>
        <w:t xml:space="preserve">2. </w:t>
      </w:r>
      <w:r w:rsidR="00FA750B" w:rsidRPr="00FA4086">
        <w:t>INFORMAÇÕES SOBRE O ESTADO DE MINAS GERAIS</w:t>
      </w:r>
      <w:bookmarkStart w:id="3" w:name="_Hlk52817783"/>
      <w:bookmarkEnd w:id="2"/>
    </w:p>
    <w:p w:rsidR="00FA750B" w:rsidRDefault="00FA750B" w:rsidP="00FA750B">
      <w:pPr>
        <w:spacing w:after="0" w:line="240" w:lineRule="auto"/>
        <w:rPr>
          <w:sz w:val="16"/>
          <w:szCs w:val="16"/>
        </w:rPr>
      </w:pPr>
      <w:r>
        <w:rPr>
          <w:sz w:val="16"/>
          <w:szCs w:val="16"/>
        </w:rPr>
        <w:fldChar w:fldCharType="begin"/>
      </w:r>
      <w:r>
        <w:rPr>
          <w:sz w:val="16"/>
          <w:szCs w:val="16"/>
        </w:rPr>
        <w:instrText xml:space="preserve"> TC  "</w:instrText>
      </w:r>
      <w:bookmarkStart w:id="4" w:name="_Toc189119786"/>
      <w:r>
        <w:rPr>
          <w:sz w:val="16"/>
          <w:szCs w:val="16"/>
        </w:rPr>
        <w:instrText>Figura 01 -  Informações sobre o Estado de Minas Gerais/ CEINFO</w:instrText>
      </w:r>
      <w:bookmarkEnd w:id="4"/>
      <w:r>
        <w:rPr>
          <w:sz w:val="16"/>
          <w:szCs w:val="16"/>
        </w:rPr>
        <w:instrText xml:space="preserve">" \f f\l 1 </w:instrText>
      </w:r>
      <w:r>
        <w:rPr>
          <w:sz w:val="16"/>
          <w:szCs w:val="16"/>
        </w:rPr>
        <w:fldChar w:fldCharType="end"/>
      </w:r>
      <w:r w:rsidRPr="00BA5385">
        <w:rPr>
          <w:sz w:val="16"/>
          <w:szCs w:val="16"/>
        </w:rPr>
        <w:t xml:space="preserve">Figura </w:t>
      </w:r>
      <w:r>
        <w:rPr>
          <w:sz w:val="16"/>
          <w:szCs w:val="16"/>
        </w:rPr>
        <w:t>0</w:t>
      </w:r>
      <w:r w:rsidRPr="00BA5385">
        <w:rPr>
          <w:sz w:val="16"/>
          <w:szCs w:val="16"/>
        </w:rPr>
        <w:t>1</w:t>
      </w:r>
      <w:r>
        <w:rPr>
          <w:sz w:val="16"/>
          <w:szCs w:val="16"/>
        </w:rPr>
        <w:t xml:space="preserve"> -</w:t>
      </w:r>
      <w:r w:rsidRPr="00BA5385">
        <w:rPr>
          <w:sz w:val="16"/>
          <w:szCs w:val="16"/>
        </w:rPr>
        <w:t xml:space="preserve"> Informações sobre o Estado de Minas Gerais. Fonte</w:t>
      </w:r>
      <w:r>
        <w:rPr>
          <w:sz w:val="16"/>
          <w:szCs w:val="16"/>
        </w:rPr>
        <w:t>:</w:t>
      </w:r>
      <w:r w:rsidRPr="00BA5385">
        <w:rPr>
          <w:sz w:val="16"/>
          <w:szCs w:val="16"/>
        </w:rPr>
        <w:t xml:space="preserve"> Centro de Informações para a Gestão Institucional – CEINFO</w:t>
      </w:r>
      <w:r>
        <w:rPr>
          <w:sz w:val="16"/>
          <w:szCs w:val="16"/>
        </w:rPr>
        <w:t>.</w:t>
      </w:r>
    </w:p>
    <w:p w:rsidR="00FA750B" w:rsidRPr="00BA5385" w:rsidRDefault="00FA750B" w:rsidP="00FA750B">
      <w:pPr>
        <w:spacing w:after="0" w:line="240" w:lineRule="auto"/>
        <w:rPr>
          <w:sz w:val="16"/>
          <w:szCs w:val="16"/>
        </w:rPr>
      </w:pPr>
    </w:p>
    <w:p w:rsidR="00FA750B" w:rsidRPr="007B5B40" w:rsidRDefault="00FA750B" w:rsidP="00FA750B">
      <w:pPr>
        <w:spacing w:after="0" w:line="240" w:lineRule="auto"/>
        <w:rPr>
          <w:sz w:val="16"/>
          <w:szCs w:val="16"/>
          <w:highlight w:val="yellow"/>
        </w:rPr>
      </w:pPr>
    </w:p>
    <w:p w:rsidR="00FA750B" w:rsidRPr="00FA4086" w:rsidRDefault="00632E57" w:rsidP="00632E57">
      <w:bookmarkStart w:id="5" w:name="_Toc189202871"/>
      <w:bookmarkEnd w:id="3"/>
      <w:r>
        <w:t>3.</w:t>
      </w:r>
      <w:r w:rsidR="00095A5C">
        <w:t xml:space="preserve"> </w:t>
      </w:r>
      <w:r w:rsidR="00FA750B" w:rsidRPr="00FA4086">
        <w:t>PERFIL INSTITUCIONAL</w:t>
      </w:r>
      <w:bookmarkStart w:id="6" w:name="_Hlk51676026"/>
      <w:bookmarkEnd w:id="5"/>
      <w:bookmarkEnd w:id="6"/>
    </w:p>
    <w:p w:rsidR="00FA750B" w:rsidRPr="0062732D" w:rsidRDefault="00FA750B" w:rsidP="00FA750B">
      <w:pPr>
        <w:rPr>
          <w:rFonts w:cstheme="minorHAnsi"/>
          <w:color w:val="000000" w:themeColor="text1"/>
        </w:rPr>
      </w:pPr>
      <w:r w:rsidRPr="0062732D">
        <w:rPr>
          <w:rFonts w:cstheme="minorHAnsi"/>
          <w:color w:val="000000" w:themeColor="text1"/>
        </w:rPr>
        <w:t>Em Minas Gerais, o Poder Judiciário é exercido pelos seguintes órgãos: Tribunal de Justiça, Tribunal de Justiça Militar, Juizados Especiais, Turmas Recursais dos Juizados Especiais, Juízes de Direito, Tribunais do Júri, Conselhos e Juízes de Direito do Juízo Militar.</w:t>
      </w:r>
    </w:p>
    <w:p w:rsidR="00FA750B" w:rsidRPr="0062732D" w:rsidRDefault="00FA750B" w:rsidP="00FA750B">
      <w:pPr>
        <w:rPr>
          <w:rFonts w:cstheme="minorHAnsi"/>
          <w:color w:val="000000" w:themeColor="text1"/>
        </w:rPr>
      </w:pPr>
      <w:r w:rsidRPr="0062732D">
        <w:rPr>
          <w:rFonts w:cstheme="minorHAnsi"/>
          <w:color w:val="000000" w:themeColor="text1"/>
        </w:rPr>
        <w:t>O Tribunal de Justiça é órgão superior do Poder Judiciário de Minas Gerais, com independência e autonomia administrativa e financeira, sede na Capital e jurisdição em todo o território do Estado. Sua atividade-fim é a prestação jurisdicional, que envolve tanto as decisões dos magistrados — juízes e desembargadores — quanto os procedimentos necessários à tramitação dos processos judiciais e à resolução dos conflitos de interesses.</w:t>
      </w:r>
    </w:p>
    <w:p w:rsidR="00095A5C" w:rsidRDefault="00095A5C" w:rsidP="00095A5C">
      <w:r>
        <w:t>3.1 Principais Atos Normativos Referentes à Estrutura do TJMG</w:t>
      </w:r>
    </w:p>
    <w:p w:rsidR="00BB549C" w:rsidRDefault="00095A5C" w:rsidP="00095A5C">
      <w:r>
        <w:t>São elencados abaixo os principais atos normativos que regulamentam a estrutura e o funcionamento do TJMG.</w:t>
      </w:r>
    </w:p>
    <w:p w:rsidR="00095A5C" w:rsidRDefault="00095A5C" w:rsidP="00095A5C">
      <w:r>
        <w:t>[INSERIR_TABELA_ATOS_NORMATIVOS]</w:t>
      </w:r>
    </w:p>
    <w:p w:rsidR="00095A5C" w:rsidRPr="00D43443" w:rsidRDefault="00095A5C" w:rsidP="00095A5C">
      <w:pPr>
        <w:rPr>
          <w:szCs w:val="24"/>
        </w:rPr>
      </w:pPr>
      <w:r w:rsidRPr="00D43443">
        <w:rPr>
          <w:szCs w:val="24"/>
        </w:rPr>
        <w:t>O organograma da Instituição está disponível em:</w:t>
      </w:r>
    </w:p>
    <w:p w:rsidR="00095A5C" w:rsidRDefault="00A339BC" w:rsidP="00095A5C">
      <w:pPr>
        <w:spacing w:before="0" w:after="0" w:line="240" w:lineRule="auto"/>
        <w:rPr>
          <w:rFonts w:cstheme="minorHAnsi"/>
          <w:szCs w:val="24"/>
        </w:rPr>
      </w:pPr>
      <w:hyperlink r:id="rId5" w:history="1">
        <w:r w:rsidR="00095A5C" w:rsidRPr="00D43443">
          <w:rPr>
            <w:rFonts w:cstheme="minorHAnsi"/>
            <w:szCs w:val="24"/>
          </w:rPr>
          <w:t>https://www.tjmg.jus.br/data/files/CD/71/C5/37/B9EBA810AC81D5A82C08CCA8/Organograma%20da%20Secretaria%20TJMG%20-%20Setembro%20-%202023.pdf</w:t>
        </w:r>
      </w:hyperlink>
    </w:p>
    <w:p w:rsidR="00095A5C" w:rsidRDefault="00095A5C" w:rsidP="00095A5C">
      <w:pPr>
        <w:spacing w:before="0" w:after="0" w:line="240" w:lineRule="auto"/>
        <w:rPr>
          <w:rFonts w:cstheme="minorHAnsi"/>
          <w:szCs w:val="24"/>
        </w:rPr>
      </w:pPr>
    </w:p>
    <w:p w:rsidR="00095A5C" w:rsidRPr="0038119A" w:rsidRDefault="00095A5C" w:rsidP="00095A5C">
      <w:pPr>
        <w:spacing w:before="0" w:after="0"/>
        <w:rPr>
          <w:rFonts w:cstheme="minorHAnsi"/>
          <w:color w:val="000000" w:themeColor="text1"/>
          <w:szCs w:val="24"/>
        </w:rPr>
      </w:pPr>
      <w:r w:rsidRPr="0038119A">
        <w:rPr>
          <w:rFonts w:cstheme="minorHAnsi"/>
          <w:color w:val="000000" w:themeColor="text1"/>
          <w:szCs w:val="24"/>
        </w:rPr>
        <w:t>A seguir estão relacionadas as principais áreas da secretaria do TJMG, elencadas em ordem alfabética:</w:t>
      </w:r>
    </w:p>
    <w:p w:rsidR="002B62AE" w:rsidRDefault="002B62AE" w:rsidP="002B62AE">
      <w:r>
        <w:t>[INSERIR_</w:t>
      </w:r>
      <w:r w:rsidRPr="002B62AE">
        <w:t>TABELA_AREAS</w:t>
      </w:r>
      <w:r>
        <w:t>]</w:t>
      </w:r>
    </w:p>
    <w:p w:rsidR="00CC6783" w:rsidRDefault="00CC6783" w:rsidP="002B62AE">
      <w:r>
        <w:t>[INSERIR_QUEBRA_PAGINA]</w:t>
      </w:r>
    </w:p>
    <w:p w:rsidR="00A55401" w:rsidRDefault="00A55401" w:rsidP="00A55401">
      <w:r>
        <w:lastRenderedPageBreak/>
        <w:t>3.2 Estrutura e Força de Trabalho do TJMG</w:t>
      </w:r>
    </w:p>
    <w:p w:rsidR="00A55401" w:rsidRDefault="00A55401" w:rsidP="00A55401">
      <w:r>
        <w:t>Para a prestação jurisdicional na Segunda Instância, o Tribunal de Justiça conta com 149 desembargadores que atuam em 21 câmaras cíveis e 9 criminais, cada uma delas apoiada por um cartório onde os feitos tramitam. Além disso, foram instalados 13 Núcleos de Justiça 4.0. O encaminhamento de processos aos tribunais superiores recebe o apoio de 4 Cartórios de Recursos a Outros Tribunais (</w:t>
      </w:r>
      <w:proofErr w:type="spellStart"/>
      <w:r>
        <w:t>Carot</w:t>
      </w:r>
      <w:proofErr w:type="spellEnd"/>
      <w:r>
        <w:t xml:space="preserve">), enquanto o Órgão Especial e os grupos de câmaras contam com o suporte de 2 </w:t>
      </w:r>
      <w:r w:rsidRPr="00E07DDA">
        <w:t>Cartórios</w:t>
      </w:r>
      <w:r>
        <w:t xml:space="preserve"> de Feitos Especiais (</w:t>
      </w:r>
      <w:proofErr w:type="spellStart"/>
      <w:r>
        <w:t>Cafes</w:t>
      </w:r>
      <w:proofErr w:type="spellEnd"/>
      <w:r>
        <w:t>).</w:t>
      </w:r>
    </w:p>
    <w:p w:rsidR="00E07DDA" w:rsidRDefault="00E07DDA" w:rsidP="00E07DDA">
      <w:r>
        <w:t>[INSERIR_TABELA_ESTRUTURA]</w:t>
      </w:r>
    </w:p>
    <w:p w:rsidR="00E07DDA" w:rsidRPr="003E7A18" w:rsidRDefault="00E07DDA" w:rsidP="00E07DDA">
      <w:pPr>
        <w:rPr>
          <w:color w:val="000000" w:themeColor="text1"/>
        </w:rPr>
      </w:pPr>
      <w:r w:rsidRPr="003E7A18">
        <w:rPr>
          <w:color w:val="000000" w:themeColor="text1"/>
        </w:rPr>
        <w:t xml:space="preserve">Na Primeira Instância do TJMG, </w:t>
      </w:r>
      <w:proofErr w:type="spellStart"/>
      <w:r w:rsidRPr="003E7A18">
        <w:rPr>
          <w:color w:val="000000" w:themeColor="text1"/>
        </w:rPr>
        <w:t>judicam</w:t>
      </w:r>
      <w:proofErr w:type="spellEnd"/>
      <w:r w:rsidRPr="003E7A18">
        <w:rPr>
          <w:color w:val="000000" w:themeColor="text1"/>
        </w:rPr>
        <w:t xml:space="preserve"> 916 juízes, nas 298 comarcas instaladas, abrangendo todos os 853 municípios do Estado. Atualmente, existem 793 varas instaladas, 145 Juizados Especiais e</w:t>
      </w:r>
      <w:r>
        <w:rPr>
          <w:color w:val="000000" w:themeColor="text1"/>
        </w:rPr>
        <w:t xml:space="preserve"> Turmas Recursais e</w:t>
      </w:r>
      <w:r w:rsidRPr="003E7A18">
        <w:rPr>
          <w:color w:val="000000" w:themeColor="text1"/>
        </w:rPr>
        <w:t xml:space="preserve"> 5 Núcleos de Justiça 4.0. </w:t>
      </w:r>
    </w:p>
    <w:p w:rsidR="0081400F" w:rsidRDefault="00D33A23" w:rsidP="00F24A0E">
      <w:r>
        <w:t>[INSERIR_TABELA_COMARCAS]</w:t>
      </w:r>
    </w:p>
    <w:p w:rsidR="00A26D2C" w:rsidRDefault="00A26D2C" w:rsidP="00F24A0E">
      <w:r>
        <w:t>[</w:t>
      </w:r>
      <w:r w:rsidRPr="004E2237">
        <w:t>INSERIR_TABELA_NUCLEOS</w:t>
      </w:r>
      <w:r>
        <w:t>]</w:t>
      </w:r>
    </w:p>
    <w:p w:rsidR="00F24A0E" w:rsidRDefault="00F24A0E" w:rsidP="00F24A0E">
      <w:r w:rsidRPr="00A336D8">
        <w:t>Além disso, o Tribunal possui 298 Centros Judiciais de Solução de Conflitos e Cidadania (</w:t>
      </w:r>
      <w:proofErr w:type="spellStart"/>
      <w:r w:rsidRPr="00A336D8">
        <w:t>Cejusc</w:t>
      </w:r>
      <w:proofErr w:type="spellEnd"/>
      <w:r w:rsidRPr="00A336D8">
        <w:t xml:space="preserve">) instalados. Temos também os seguintes </w:t>
      </w:r>
      <w:proofErr w:type="spellStart"/>
      <w:r w:rsidRPr="00A336D8">
        <w:t>CEJUSCs</w:t>
      </w:r>
      <w:proofErr w:type="spellEnd"/>
      <w:r w:rsidRPr="00A336D8">
        <w:t xml:space="preserve"> especializados:</w:t>
      </w:r>
    </w:p>
    <w:p w:rsidR="008562E0" w:rsidRPr="00A336D8" w:rsidRDefault="008562E0" w:rsidP="00F24A0E">
      <w:r>
        <w:t>[INICIAR_LISTA_NUMERICA]</w:t>
      </w:r>
    </w:p>
    <w:p w:rsidR="00F24A0E" w:rsidRPr="00A336D8" w:rsidRDefault="00F24A0E" w:rsidP="00F24A0E">
      <w:pPr>
        <w:numPr>
          <w:ilvl w:val="0"/>
          <w:numId w:val="5"/>
        </w:numPr>
        <w:spacing w:before="0" w:after="0" w:line="240" w:lineRule="auto"/>
      </w:pPr>
      <w:r w:rsidRPr="00A336D8">
        <w:t>CEJUSC-2º GRAU</w:t>
      </w:r>
    </w:p>
    <w:p w:rsidR="00F24A0E" w:rsidRPr="00A336D8" w:rsidRDefault="00F24A0E" w:rsidP="00F24A0E">
      <w:pPr>
        <w:numPr>
          <w:ilvl w:val="0"/>
          <w:numId w:val="5"/>
        </w:numPr>
        <w:spacing w:before="0" w:after="0" w:line="240" w:lineRule="auto"/>
      </w:pPr>
      <w:proofErr w:type="gramStart"/>
      <w:r w:rsidRPr="00A336D8">
        <w:t>CEJUS Ambiental</w:t>
      </w:r>
      <w:proofErr w:type="gramEnd"/>
      <w:r w:rsidRPr="00A336D8">
        <w:t xml:space="preserve"> </w:t>
      </w:r>
    </w:p>
    <w:p w:rsidR="00F24A0E" w:rsidRPr="00A336D8" w:rsidRDefault="00F24A0E" w:rsidP="00F24A0E">
      <w:pPr>
        <w:numPr>
          <w:ilvl w:val="0"/>
          <w:numId w:val="5"/>
        </w:numPr>
        <w:spacing w:before="0" w:after="0" w:line="240" w:lineRule="auto"/>
      </w:pPr>
      <w:proofErr w:type="gramStart"/>
      <w:r w:rsidRPr="00A336D8">
        <w:t>CEJUS Social</w:t>
      </w:r>
      <w:proofErr w:type="gramEnd"/>
      <w:r w:rsidRPr="00A336D8">
        <w:t xml:space="preserve"> </w:t>
      </w:r>
    </w:p>
    <w:p w:rsidR="00F24A0E" w:rsidRPr="00A336D8" w:rsidRDefault="00F24A0E" w:rsidP="00F24A0E">
      <w:pPr>
        <w:numPr>
          <w:ilvl w:val="0"/>
          <w:numId w:val="5"/>
        </w:numPr>
        <w:spacing w:before="0" w:after="0" w:line="240" w:lineRule="auto"/>
      </w:pPr>
      <w:r w:rsidRPr="00A336D8">
        <w:t xml:space="preserve">CEJUSC Família </w:t>
      </w:r>
    </w:p>
    <w:p w:rsidR="00F24A0E" w:rsidRPr="00A336D8" w:rsidRDefault="00F24A0E" w:rsidP="00F24A0E">
      <w:pPr>
        <w:numPr>
          <w:ilvl w:val="0"/>
          <w:numId w:val="5"/>
        </w:numPr>
        <w:spacing w:before="0" w:after="0" w:line="240" w:lineRule="auto"/>
      </w:pPr>
      <w:proofErr w:type="gramStart"/>
      <w:r w:rsidRPr="00A336D8">
        <w:t>CEJUSC Virtual</w:t>
      </w:r>
      <w:proofErr w:type="gramEnd"/>
    </w:p>
    <w:p w:rsidR="00F24A0E" w:rsidRPr="00A336D8" w:rsidRDefault="00F24A0E" w:rsidP="00F24A0E">
      <w:pPr>
        <w:numPr>
          <w:ilvl w:val="0"/>
          <w:numId w:val="5"/>
        </w:numPr>
        <w:spacing w:before="0" w:after="0" w:line="240" w:lineRule="auto"/>
      </w:pPr>
      <w:proofErr w:type="gramStart"/>
      <w:r w:rsidRPr="00A336D8">
        <w:t>CEJUSC Tributário</w:t>
      </w:r>
      <w:proofErr w:type="gramEnd"/>
      <w:r w:rsidRPr="00A336D8">
        <w:t xml:space="preserve"> </w:t>
      </w:r>
    </w:p>
    <w:p w:rsidR="00F24A0E" w:rsidRPr="00A336D8" w:rsidRDefault="00F24A0E" w:rsidP="00F24A0E">
      <w:pPr>
        <w:numPr>
          <w:ilvl w:val="0"/>
          <w:numId w:val="5"/>
        </w:numPr>
        <w:spacing w:before="0" w:after="0" w:line="240" w:lineRule="auto"/>
      </w:pPr>
      <w:proofErr w:type="gramStart"/>
      <w:r w:rsidRPr="00A336D8">
        <w:t>CEJUSC Empresarial</w:t>
      </w:r>
      <w:proofErr w:type="gramEnd"/>
      <w:r w:rsidRPr="00A336D8">
        <w:t xml:space="preserve"> </w:t>
      </w:r>
    </w:p>
    <w:p w:rsidR="00F24A0E" w:rsidRPr="00A336D8" w:rsidRDefault="00F24A0E" w:rsidP="00F24A0E">
      <w:pPr>
        <w:numPr>
          <w:ilvl w:val="0"/>
          <w:numId w:val="5"/>
        </w:numPr>
        <w:spacing w:before="0" w:after="0" w:line="240" w:lineRule="auto"/>
      </w:pPr>
      <w:r w:rsidRPr="00A336D8">
        <w:t xml:space="preserve">CEJUSC Saúde </w:t>
      </w:r>
    </w:p>
    <w:p w:rsidR="008562E0" w:rsidRDefault="00F24A0E" w:rsidP="008562E0">
      <w:pPr>
        <w:numPr>
          <w:ilvl w:val="0"/>
          <w:numId w:val="5"/>
        </w:numPr>
        <w:spacing w:before="0" w:after="0" w:line="240" w:lineRule="auto"/>
      </w:pPr>
      <w:r w:rsidRPr="00A336D8">
        <w:t>CEJUSC - Povos e Comunidades Tradicionais</w:t>
      </w:r>
    </w:p>
    <w:p w:rsidR="008562E0" w:rsidRDefault="00786278" w:rsidP="008562E0">
      <w:pPr>
        <w:spacing w:before="0" w:after="0" w:line="240" w:lineRule="auto"/>
      </w:pPr>
      <w:r>
        <w:br/>
      </w:r>
      <w:r w:rsidR="008562E0">
        <w:t>[FINALIZAR_LISTA_NUMERICA]</w:t>
      </w:r>
    </w:p>
    <w:p w:rsidR="00F24A0E" w:rsidRPr="00A336D8" w:rsidRDefault="00F24A0E" w:rsidP="00F24A0E">
      <w:pPr>
        <w:spacing w:before="0" w:after="0" w:line="240" w:lineRule="auto"/>
        <w:ind w:left="720"/>
      </w:pPr>
    </w:p>
    <w:p w:rsidR="00F24A0E" w:rsidRPr="00DB1571" w:rsidRDefault="00F24A0E" w:rsidP="00F24A0E">
      <w:r w:rsidRPr="00DB1571">
        <w:t xml:space="preserve">A prestação jurisdicional e as atividades administrativa contam com um total </w:t>
      </w:r>
      <w:r w:rsidRPr="003E7A18">
        <w:rPr>
          <w:color w:val="000000" w:themeColor="text1"/>
        </w:rPr>
        <w:t xml:space="preserve">de 13.754 </w:t>
      </w:r>
      <w:r w:rsidRPr="00DB1571">
        <w:t xml:space="preserve">servidores, sendo </w:t>
      </w:r>
      <w:r w:rsidRPr="003E7A18">
        <w:rPr>
          <w:color w:val="000000" w:themeColor="text1"/>
        </w:rPr>
        <w:t xml:space="preserve">que 3.045 atuam </w:t>
      </w:r>
      <w:r w:rsidRPr="00DB1571">
        <w:t xml:space="preserve">na Segunda Instância e </w:t>
      </w:r>
      <w:r>
        <w:t>10.709</w:t>
      </w:r>
      <w:r w:rsidRPr="00E055BD">
        <w:rPr>
          <w:color w:val="FFC000" w:themeColor="accent4"/>
        </w:rPr>
        <w:t xml:space="preserve"> </w:t>
      </w:r>
      <w:r w:rsidRPr="00DB1571">
        <w:t xml:space="preserve">na Primeira Instância. </w:t>
      </w:r>
    </w:p>
    <w:p w:rsidR="00F24A0E" w:rsidRPr="00A336D8" w:rsidRDefault="00F24A0E" w:rsidP="00F24A0E">
      <w:r w:rsidRPr="00A336D8">
        <w:t xml:space="preserve">No que se refere aos vários colaboradores da </w:t>
      </w:r>
      <w:r>
        <w:t xml:space="preserve">justiça, </w:t>
      </w:r>
      <w:r w:rsidRPr="00A336D8">
        <w:t xml:space="preserve">podemos destacar a atividade de juízes leigos, conciliadores, mediadores, terceirizados e estagiários, totalizando </w:t>
      </w:r>
      <w:r w:rsidRPr="003E7A18">
        <w:rPr>
          <w:color w:val="000000" w:themeColor="text1"/>
        </w:rPr>
        <w:t xml:space="preserve">18.247 </w:t>
      </w:r>
      <w:r w:rsidRPr="00A336D8">
        <w:t>pessoas.</w:t>
      </w:r>
    </w:p>
    <w:p w:rsidR="00F24A0E" w:rsidRPr="00A336D8" w:rsidRDefault="00F24A0E" w:rsidP="00F24A0E">
      <w:r w:rsidRPr="00A336D8">
        <w:lastRenderedPageBreak/>
        <w:t xml:space="preserve">Em 2019, o Governador </w:t>
      </w:r>
      <w:r>
        <w:t>de Minas Gerais</w:t>
      </w:r>
      <w:r w:rsidRPr="00A336D8">
        <w:t xml:space="preserve">, Romeu </w:t>
      </w:r>
      <w:proofErr w:type="spellStart"/>
      <w:r w:rsidRPr="00A336D8">
        <w:t>Zema</w:t>
      </w:r>
      <w:proofErr w:type="spellEnd"/>
      <w:r w:rsidRPr="00A336D8">
        <w:t xml:space="preserve"> Neto, sancionou a Lei n° 23.478</w:t>
      </w:r>
      <w:r>
        <w:t xml:space="preserve"> </w:t>
      </w:r>
      <w:r w:rsidRPr="00A336D8">
        <w:t xml:space="preserve">que unifica o quadro de servidores do Tribunal de Justiça de Minas Gerais (TJMG), criando isonomia para remoção, permuta, processos seletivos, remuneração e promoção vertical entre os servidores de </w:t>
      </w:r>
      <w:r>
        <w:t>Primeira</w:t>
      </w:r>
      <w:r w:rsidRPr="00A336D8">
        <w:t xml:space="preserve"> e </w:t>
      </w:r>
      <w:r>
        <w:t>S</w:t>
      </w:r>
      <w:r w:rsidRPr="00A336D8">
        <w:t>egunda instâncias no Tribunal.</w:t>
      </w:r>
    </w:p>
    <w:p w:rsidR="00F24A0E" w:rsidRDefault="00F24A0E" w:rsidP="00F24A0E">
      <w:r w:rsidRPr="00A336D8">
        <w:t>A síntese da estrutura na área fim, da força de trabalho do TJMG e de colaboradores da justiça está explícita nas figuras abaixo:</w:t>
      </w:r>
    </w:p>
    <w:p w:rsidR="00F24A0E" w:rsidRPr="00D33A23" w:rsidRDefault="00F24A0E" w:rsidP="00095A5C"/>
    <w:p w:rsidR="00095A5C" w:rsidRDefault="00894764" w:rsidP="00095A5C">
      <w:pPr>
        <w:rPr>
          <w:sz w:val="16"/>
          <w:szCs w:val="16"/>
        </w:rPr>
      </w:pPr>
      <w:r w:rsidRPr="00F13376">
        <w:rPr>
          <w:sz w:val="16"/>
          <w:szCs w:val="16"/>
        </w:rPr>
        <w:t xml:space="preserve">Figura </w:t>
      </w:r>
      <w:r>
        <w:rPr>
          <w:sz w:val="16"/>
          <w:szCs w:val="16"/>
        </w:rPr>
        <w:t xml:space="preserve">02 - Síntese da estrutura na área fim. </w:t>
      </w:r>
      <w:r w:rsidRPr="00BA5385">
        <w:rPr>
          <w:sz w:val="16"/>
          <w:szCs w:val="16"/>
        </w:rPr>
        <w:t>Fonte</w:t>
      </w:r>
      <w:r>
        <w:rPr>
          <w:sz w:val="16"/>
          <w:szCs w:val="16"/>
        </w:rPr>
        <w:t>:</w:t>
      </w:r>
      <w:r w:rsidRPr="00BA5385">
        <w:rPr>
          <w:sz w:val="16"/>
          <w:szCs w:val="16"/>
        </w:rPr>
        <w:t xml:space="preserve"> Centro de Informações para a Gestão Institucional – CEINFO</w:t>
      </w:r>
      <w:r>
        <w:rPr>
          <w:sz w:val="16"/>
          <w:szCs w:val="16"/>
        </w:rPr>
        <w:t>.</w:t>
      </w:r>
    </w:p>
    <w:p w:rsidR="00894764" w:rsidRDefault="00894764" w:rsidP="00894764">
      <w:pPr>
        <w:spacing w:before="0" w:after="0" w:line="240" w:lineRule="auto"/>
        <w:jc w:val="left"/>
        <w:rPr>
          <w:sz w:val="16"/>
          <w:szCs w:val="16"/>
        </w:rPr>
      </w:pPr>
    </w:p>
    <w:p w:rsidR="00CC6783" w:rsidRPr="00CC6783" w:rsidRDefault="00894764" w:rsidP="009B4336">
      <w:pPr>
        <w:spacing w:before="0" w:after="0" w:line="240" w:lineRule="auto"/>
        <w:jc w:val="left"/>
        <w:rPr>
          <w:sz w:val="16"/>
          <w:szCs w:val="16"/>
        </w:rPr>
      </w:pPr>
      <w:r>
        <w:rPr>
          <w:sz w:val="16"/>
          <w:szCs w:val="16"/>
        </w:rPr>
        <w:fldChar w:fldCharType="begin"/>
      </w:r>
      <w:r>
        <w:rPr>
          <w:sz w:val="16"/>
          <w:szCs w:val="16"/>
        </w:rPr>
        <w:instrText xml:space="preserve"> TC  "</w:instrText>
      </w:r>
      <w:bookmarkStart w:id="7" w:name="_Toc189119788"/>
      <w:r w:rsidRPr="00F13376">
        <w:rPr>
          <w:sz w:val="16"/>
          <w:szCs w:val="16"/>
        </w:rPr>
        <w:instrText xml:space="preserve">Figura </w:instrText>
      </w:r>
      <w:r>
        <w:rPr>
          <w:sz w:val="16"/>
          <w:szCs w:val="16"/>
        </w:rPr>
        <w:instrText>03  Novas estruturas na área fim</w:instrText>
      </w:r>
      <w:bookmarkEnd w:id="7"/>
      <w:r>
        <w:rPr>
          <w:sz w:val="16"/>
          <w:szCs w:val="16"/>
        </w:rPr>
        <w:instrText xml:space="preserve">” \f f\l 1 </w:instrText>
      </w:r>
      <w:r>
        <w:rPr>
          <w:sz w:val="16"/>
          <w:szCs w:val="16"/>
        </w:rPr>
        <w:fldChar w:fldCharType="end"/>
      </w:r>
      <w:r w:rsidRPr="00F13376">
        <w:rPr>
          <w:sz w:val="16"/>
          <w:szCs w:val="16"/>
        </w:rPr>
        <w:t xml:space="preserve">Figura </w:t>
      </w:r>
      <w:r>
        <w:rPr>
          <w:sz w:val="16"/>
          <w:szCs w:val="16"/>
        </w:rPr>
        <w:t xml:space="preserve">03 - Novas estruturas na área fim. </w:t>
      </w:r>
      <w:r w:rsidRPr="00BA5385">
        <w:rPr>
          <w:sz w:val="16"/>
          <w:szCs w:val="16"/>
        </w:rPr>
        <w:t>Fonte</w:t>
      </w:r>
      <w:r>
        <w:rPr>
          <w:sz w:val="16"/>
          <w:szCs w:val="16"/>
        </w:rPr>
        <w:t>:</w:t>
      </w:r>
      <w:r w:rsidRPr="00BA5385">
        <w:rPr>
          <w:sz w:val="16"/>
          <w:szCs w:val="16"/>
        </w:rPr>
        <w:t xml:space="preserve"> Centro de Informações para a Gestão Institucional – CEINFO</w:t>
      </w:r>
      <w:r w:rsidR="009B4336">
        <w:t xml:space="preserve"> </w:t>
      </w:r>
      <w:r w:rsidR="0016189C">
        <w:t xml:space="preserve">      </w:t>
      </w:r>
      <w:proofErr w:type="gramStart"/>
      <w:r w:rsidR="0016189C">
        <w:t xml:space="preserve">   </w:t>
      </w:r>
      <w:r w:rsidRPr="00F61BAF">
        <w:rPr>
          <w:sz w:val="16"/>
          <w:szCs w:val="16"/>
        </w:rPr>
        <w:t>(</w:t>
      </w:r>
      <w:proofErr w:type="gramEnd"/>
      <w:r w:rsidRPr="00F61BAF">
        <w:rPr>
          <w:sz w:val="16"/>
          <w:szCs w:val="16"/>
        </w:rPr>
        <w:t>*)Atualmente, existem 8 fóruns digitais, dos quais 5 estão instalados e operando, 1 está em fase de conclusão, aguardando a definição da data de inauguração e 2 estão funcionando em prédios cedidos por meio de convênios entre o tribunal e as prefeituras dos respectivos municípios.</w:t>
      </w:r>
    </w:p>
    <w:p w:rsidR="00F84FF5" w:rsidRDefault="00894764" w:rsidP="00F84FF5">
      <w:pPr>
        <w:jc w:val="left"/>
        <w:rPr>
          <w:color w:val="FF0000"/>
          <w:sz w:val="16"/>
          <w:szCs w:val="16"/>
        </w:rPr>
      </w:pPr>
      <w:r>
        <w:rPr>
          <w:sz w:val="16"/>
          <w:szCs w:val="16"/>
        </w:rPr>
        <w:fldChar w:fldCharType="begin"/>
      </w:r>
      <w:r>
        <w:rPr>
          <w:sz w:val="16"/>
          <w:szCs w:val="16"/>
        </w:rPr>
        <w:instrText xml:space="preserve"> TC  "</w:instrText>
      </w:r>
      <w:bookmarkStart w:id="8" w:name="_Toc189119789"/>
      <w:r w:rsidRPr="00330814">
        <w:rPr>
          <w:sz w:val="16"/>
          <w:szCs w:val="16"/>
        </w:rPr>
        <w:instrText xml:space="preserve">Figura </w:instrText>
      </w:r>
      <w:r>
        <w:rPr>
          <w:sz w:val="16"/>
          <w:szCs w:val="16"/>
        </w:rPr>
        <w:instrText>04</w:instrText>
      </w:r>
      <w:r w:rsidRPr="00330814">
        <w:rPr>
          <w:sz w:val="16"/>
          <w:szCs w:val="16"/>
        </w:rPr>
        <w:instrText xml:space="preserve"> -</w:instrText>
      </w:r>
      <w:r>
        <w:rPr>
          <w:sz w:val="16"/>
          <w:szCs w:val="16"/>
        </w:rPr>
        <w:instrText xml:space="preserve"> Força de Trabalho</w:instrText>
      </w:r>
      <w:bookmarkEnd w:id="8"/>
      <w:r>
        <w:rPr>
          <w:sz w:val="16"/>
          <w:szCs w:val="16"/>
        </w:rPr>
        <w:instrText xml:space="preserve"> " \f f\l 1 </w:instrText>
      </w:r>
      <w:r>
        <w:rPr>
          <w:sz w:val="16"/>
          <w:szCs w:val="16"/>
        </w:rPr>
        <w:fldChar w:fldCharType="end"/>
      </w:r>
      <w:r w:rsidRPr="00330814">
        <w:rPr>
          <w:sz w:val="16"/>
          <w:szCs w:val="16"/>
        </w:rPr>
        <w:t xml:space="preserve">Figura </w:t>
      </w:r>
      <w:r>
        <w:rPr>
          <w:sz w:val="16"/>
          <w:szCs w:val="16"/>
        </w:rPr>
        <w:t>04</w:t>
      </w:r>
      <w:r w:rsidRPr="00330814">
        <w:rPr>
          <w:sz w:val="16"/>
          <w:szCs w:val="16"/>
        </w:rPr>
        <w:t xml:space="preserve"> -</w:t>
      </w:r>
      <w:r>
        <w:rPr>
          <w:sz w:val="16"/>
          <w:szCs w:val="16"/>
        </w:rPr>
        <w:t xml:space="preserve"> Força de Trabalho. </w:t>
      </w:r>
      <w:r w:rsidRPr="00BA5385">
        <w:rPr>
          <w:sz w:val="16"/>
          <w:szCs w:val="16"/>
        </w:rPr>
        <w:t>Fonte</w:t>
      </w:r>
      <w:r>
        <w:rPr>
          <w:sz w:val="16"/>
          <w:szCs w:val="16"/>
        </w:rPr>
        <w:t>:</w:t>
      </w:r>
      <w:r w:rsidRPr="00BA5385">
        <w:rPr>
          <w:sz w:val="16"/>
          <w:szCs w:val="16"/>
        </w:rPr>
        <w:t xml:space="preserve"> Centro de Informações para a Gestão Institucional – CEINFO</w:t>
      </w:r>
      <w:r>
        <w:rPr>
          <w:sz w:val="16"/>
          <w:szCs w:val="16"/>
        </w:rPr>
        <w:t>.</w:t>
      </w:r>
    </w:p>
    <w:p w:rsidR="00F84FF5" w:rsidRDefault="00894764" w:rsidP="00894764">
      <w:pPr>
        <w:jc w:val="left"/>
        <w:rPr>
          <w:sz w:val="16"/>
          <w:szCs w:val="16"/>
        </w:rPr>
      </w:pPr>
      <w:r>
        <w:rPr>
          <w:sz w:val="16"/>
          <w:szCs w:val="16"/>
        </w:rPr>
        <w:fldChar w:fldCharType="begin"/>
      </w:r>
      <w:r>
        <w:rPr>
          <w:sz w:val="16"/>
          <w:szCs w:val="16"/>
        </w:rPr>
        <w:instrText xml:space="preserve"> TC  "</w:instrText>
      </w:r>
      <w:bookmarkStart w:id="9" w:name="_Toc189119790"/>
      <w:r w:rsidRPr="005F0732">
        <w:rPr>
          <w:sz w:val="16"/>
          <w:szCs w:val="16"/>
        </w:rPr>
        <w:instrText xml:space="preserve">Figura </w:instrText>
      </w:r>
      <w:r>
        <w:rPr>
          <w:sz w:val="16"/>
          <w:szCs w:val="16"/>
        </w:rPr>
        <w:instrText>05</w:instrText>
      </w:r>
      <w:r w:rsidRPr="005F0732">
        <w:rPr>
          <w:sz w:val="16"/>
          <w:szCs w:val="16"/>
        </w:rPr>
        <w:instrText xml:space="preserve"> </w:instrText>
      </w:r>
      <w:r>
        <w:rPr>
          <w:sz w:val="16"/>
          <w:szCs w:val="16"/>
        </w:rPr>
        <w:instrText>-</w:instrText>
      </w:r>
      <w:r w:rsidRPr="005F0732">
        <w:rPr>
          <w:sz w:val="16"/>
          <w:szCs w:val="16"/>
        </w:rPr>
        <w:instrText xml:space="preserve"> Colaboradores da Justiça</w:instrText>
      </w:r>
      <w:bookmarkEnd w:id="9"/>
      <w:r>
        <w:rPr>
          <w:sz w:val="16"/>
          <w:szCs w:val="16"/>
        </w:rPr>
        <w:instrText xml:space="preserve">" \f f\l 1 </w:instrText>
      </w:r>
      <w:r>
        <w:rPr>
          <w:sz w:val="16"/>
          <w:szCs w:val="16"/>
        </w:rPr>
        <w:fldChar w:fldCharType="end"/>
      </w:r>
      <w:r w:rsidRPr="005F0732">
        <w:rPr>
          <w:sz w:val="16"/>
          <w:szCs w:val="16"/>
        </w:rPr>
        <w:t xml:space="preserve">Figura </w:t>
      </w:r>
      <w:r>
        <w:rPr>
          <w:sz w:val="16"/>
          <w:szCs w:val="16"/>
        </w:rPr>
        <w:t>05</w:t>
      </w:r>
      <w:r w:rsidRPr="005F0732">
        <w:rPr>
          <w:sz w:val="16"/>
          <w:szCs w:val="16"/>
        </w:rPr>
        <w:t xml:space="preserve"> </w:t>
      </w:r>
      <w:r>
        <w:rPr>
          <w:sz w:val="16"/>
          <w:szCs w:val="16"/>
        </w:rPr>
        <w:t>-</w:t>
      </w:r>
      <w:r w:rsidRPr="005F0732">
        <w:rPr>
          <w:sz w:val="16"/>
          <w:szCs w:val="16"/>
        </w:rPr>
        <w:t xml:space="preserve"> Colaboradores da Justiça.</w:t>
      </w:r>
      <w:r>
        <w:rPr>
          <w:sz w:val="16"/>
          <w:szCs w:val="16"/>
        </w:rPr>
        <w:t xml:space="preserve"> </w:t>
      </w:r>
      <w:r w:rsidRPr="00BA5385">
        <w:rPr>
          <w:sz w:val="16"/>
          <w:szCs w:val="16"/>
        </w:rPr>
        <w:t>Fonte</w:t>
      </w:r>
      <w:r>
        <w:rPr>
          <w:sz w:val="16"/>
          <w:szCs w:val="16"/>
        </w:rPr>
        <w:t>:</w:t>
      </w:r>
      <w:r w:rsidRPr="00BA5385">
        <w:rPr>
          <w:sz w:val="16"/>
          <w:szCs w:val="16"/>
        </w:rPr>
        <w:t xml:space="preserve"> Centro de Informações para a Gestão Institucional – CEINFO</w:t>
      </w:r>
      <w:r>
        <w:rPr>
          <w:sz w:val="16"/>
          <w:szCs w:val="16"/>
        </w:rPr>
        <w:t>.</w:t>
      </w:r>
    </w:p>
    <w:p w:rsidR="00CC6783" w:rsidRPr="00CC6783" w:rsidRDefault="00CC6783" w:rsidP="00CC6783">
      <w:r>
        <w:t>[INSERIR_QUEBRA_PAGINA]</w:t>
      </w:r>
    </w:p>
    <w:p w:rsidR="00967653" w:rsidRPr="00967653" w:rsidRDefault="00967653" w:rsidP="00967653">
      <w:pPr>
        <w:rPr>
          <w:rFonts w:cstheme="minorHAnsi"/>
        </w:rPr>
      </w:pPr>
      <w:r w:rsidRPr="00967653">
        <w:rPr>
          <w:rFonts w:cstheme="minorHAnsi"/>
        </w:rPr>
        <w:t>3.2.1 Força de Trabalho e Colaboradores na Área de TIC</w:t>
      </w:r>
    </w:p>
    <w:p w:rsidR="00894764" w:rsidRPr="00F84FF5" w:rsidRDefault="00894764" w:rsidP="00894764">
      <w:pPr>
        <w:jc w:val="left"/>
        <w:rPr>
          <w:color w:val="FF0000"/>
          <w:sz w:val="16"/>
          <w:szCs w:val="16"/>
        </w:rPr>
      </w:pPr>
      <w:r w:rsidRPr="00894764">
        <w:rPr>
          <w:sz w:val="16"/>
          <w:szCs w:val="16"/>
        </w:rPr>
        <w:fldChar w:fldCharType="begin"/>
      </w:r>
      <w:r w:rsidRPr="00894764">
        <w:rPr>
          <w:sz w:val="16"/>
          <w:szCs w:val="16"/>
        </w:rPr>
        <w:instrText xml:space="preserve"> TC  "</w:instrText>
      </w:r>
      <w:bookmarkStart w:id="10" w:name="_Toc189119791"/>
      <w:r w:rsidRPr="00894764">
        <w:rPr>
          <w:sz w:val="16"/>
          <w:szCs w:val="16"/>
        </w:rPr>
        <w:instrText>Figura 06 – Força de Trabalho e Colaboradores na área de TI</w:instrText>
      </w:r>
      <w:bookmarkEnd w:id="10"/>
      <w:r w:rsidRPr="00894764">
        <w:rPr>
          <w:sz w:val="16"/>
          <w:szCs w:val="16"/>
        </w:rPr>
        <w:instrText xml:space="preserve">" \f f\l 1 </w:instrText>
      </w:r>
      <w:r w:rsidRPr="00894764">
        <w:rPr>
          <w:sz w:val="16"/>
          <w:szCs w:val="16"/>
        </w:rPr>
        <w:fldChar w:fldCharType="end"/>
      </w:r>
      <w:r w:rsidRPr="00894764">
        <w:rPr>
          <w:sz w:val="16"/>
          <w:szCs w:val="16"/>
        </w:rPr>
        <w:t>Figura 06</w:t>
      </w:r>
      <w:r>
        <w:rPr>
          <w:sz w:val="16"/>
          <w:szCs w:val="16"/>
        </w:rPr>
        <w:t xml:space="preserve"> – Força de Trabalho e Colaboradores na área de TI. </w:t>
      </w:r>
      <w:r w:rsidRPr="00BA5385">
        <w:rPr>
          <w:sz w:val="16"/>
          <w:szCs w:val="16"/>
        </w:rPr>
        <w:t>Fonte</w:t>
      </w:r>
      <w:r>
        <w:rPr>
          <w:sz w:val="16"/>
          <w:szCs w:val="16"/>
        </w:rPr>
        <w:t>:</w:t>
      </w:r>
      <w:r w:rsidRPr="00BA5385">
        <w:rPr>
          <w:sz w:val="16"/>
          <w:szCs w:val="16"/>
        </w:rPr>
        <w:t xml:space="preserve"> Centro de Informações para a Gestão Institucional – CEINFO</w:t>
      </w:r>
      <w:r>
        <w:rPr>
          <w:sz w:val="16"/>
          <w:szCs w:val="16"/>
        </w:rPr>
        <w:t>.</w:t>
      </w:r>
    </w:p>
    <w:p w:rsidR="00894764" w:rsidRDefault="00967653" w:rsidP="00967653">
      <w:r>
        <w:t>3.3 Movimentação Processual do Estado (TJMG)</w:t>
      </w:r>
    </w:p>
    <w:p w:rsidR="00967653" w:rsidRPr="00DB1571" w:rsidRDefault="00967653" w:rsidP="00967653">
      <w:r w:rsidRPr="00DB1571">
        <w:t>Com relação aos dados estatísticos</w:t>
      </w:r>
      <w:r>
        <w:t xml:space="preserve"> da prestação jurisdicional</w:t>
      </w:r>
      <w:r w:rsidRPr="00DB1571">
        <w:t>, em 202</w:t>
      </w:r>
      <w:r>
        <w:t>4</w:t>
      </w:r>
      <w:r w:rsidRPr="00DB1571">
        <w:t xml:space="preserve">, foram distribuídos na Segunda Instância </w:t>
      </w:r>
      <w:r>
        <w:t>334.528</w:t>
      </w:r>
      <w:r w:rsidRPr="00DB1571">
        <w:t xml:space="preserve"> processos e 2.4</w:t>
      </w:r>
      <w:r>
        <w:t>40.770</w:t>
      </w:r>
      <w:r w:rsidRPr="00DB1571">
        <w:t xml:space="preserve"> na Primeira Instância. Por outro lado, em 202</w:t>
      </w:r>
      <w:r>
        <w:t>4</w:t>
      </w:r>
      <w:r w:rsidRPr="00DB1571">
        <w:t xml:space="preserve">, foram julgados na Segunda Instância </w:t>
      </w:r>
      <w:r>
        <w:t>337.993</w:t>
      </w:r>
      <w:r w:rsidRPr="00DB1571">
        <w:t xml:space="preserve"> processos e 2.</w:t>
      </w:r>
      <w:r>
        <w:t>450.490</w:t>
      </w:r>
      <w:r w:rsidRPr="00DB1571">
        <w:t xml:space="preserve"> na Primeira Instância. Restando, assim, no último dia do ano de 202</w:t>
      </w:r>
      <w:r>
        <w:t>4</w:t>
      </w:r>
      <w:r w:rsidRPr="00DB1571">
        <w:t xml:space="preserve"> o acervo de </w:t>
      </w:r>
      <w:r>
        <w:t xml:space="preserve">206.944 </w:t>
      </w:r>
      <w:r w:rsidRPr="00DB1571">
        <w:t xml:space="preserve">processos na Segunda Instância e </w:t>
      </w:r>
      <w:r>
        <w:t>5.052.398</w:t>
      </w:r>
      <w:r w:rsidRPr="00DB1571">
        <w:t xml:space="preserve"> na Primeira Instância.</w:t>
      </w:r>
    </w:p>
    <w:p w:rsidR="00967653" w:rsidRDefault="00967653" w:rsidP="00967653">
      <w:r w:rsidRPr="00BD40A4">
        <w:t>O comparativo dos resultados apontados pode ser feito observando-se as tabelas abaixo:</w:t>
      </w:r>
    </w:p>
    <w:p w:rsidR="009E3AE7" w:rsidRDefault="0063720C" w:rsidP="00BD7F64">
      <w:r>
        <w:t>[INSERIR_TABELA_</w:t>
      </w:r>
      <w:r w:rsidR="009E3AE7">
        <w:t>PROCESSOS</w:t>
      </w:r>
      <w:r>
        <w:t>]</w:t>
      </w:r>
      <w:r w:rsidR="009E3AE7">
        <w:br w:type="page"/>
      </w:r>
    </w:p>
    <w:p w:rsidR="009E3AE7" w:rsidRPr="00B32560" w:rsidRDefault="009E3AE7" w:rsidP="009E3AE7">
      <w:r>
        <w:lastRenderedPageBreak/>
        <w:t>[INSERIR_TABELA_JULGAMENTOS]</w:t>
      </w:r>
    </w:p>
    <w:p w:rsidR="009E3AE7" w:rsidRDefault="009E3AE7" w:rsidP="009E3AE7">
      <w:r>
        <w:t>[INSERIR_TABELA_ACERVO]</w:t>
      </w:r>
    </w:p>
    <w:p w:rsidR="00224AD7" w:rsidRDefault="00224AD7" w:rsidP="00CA7061"/>
    <w:p w:rsidR="00CA7061" w:rsidRPr="00DB1571" w:rsidRDefault="00CA7061" w:rsidP="00CA7061">
      <w:r w:rsidRPr="00DB1571">
        <w:t>Quanto à variação percentual de processos distribuídos entre 2020 e 202</w:t>
      </w:r>
      <w:r>
        <w:t>4</w:t>
      </w:r>
      <w:r w:rsidRPr="00DB1571">
        <w:t xml:space="preserve">, na Primeira Instância, é possível verificar o aumento </w:t>
      </w:r>
      <w:r w:rsidRPr="00292503">
        <w:rPr>
          <w:color w:val="000000" w:themeColor="text1"/>
        </w:rPr>
        <w:t>de 36,96</w:t>
      </w:r>
      <w:r w:rsidRPr="00DB1571">
        <w:t xml:space="preserve">%, e na </w:t>
      </w:r>
      <w:r w:rsidRPr="00DB1571">
        <w:rPr>
          <w:rFonts w:cstheme="minorHAnsi"/>
          <w:szCs w:val="24"/>
        </w:rPr>
        <w:t>Segunda Instância</w:t>
      </w:r>
      <w:r w:rsidRPr="00DB1571">
        <w:t xml:space="preserve"> o acréscimo de </w:t>
      </w:r>
      <w:r w:rsidRPr="00292503">
        <w:rPr>
          <w:color w:val="000000" w:themeColor="text1"/>
        </w:rPr>
        <w:t xml:space="preserve">67,72%. </w:t>
      </w:r>
    </w:p>
    <w:p w:rsidR="00CA7061" w:rsidRPr="00DB1571" w:rsidRDefault="00CA7061" w:rsidP="00CA7061">
      <w:r w:rsidRPr="00DB1571">
        <w:t xml:space="preserve">Em contrapartida, a variação </w:t>
      </w:r>
      <w:r w:rsidRPr="00292503">
        <w:rPr>
          <w:color w:val="000000" w:themeColor="text1"/>
        </w:rPr>
        <w:t xml:space="preserve">no número de processos julgados no mesmo período na Primeira Instância obteve um aumento de </w:t>
      </w:r>
      <w:r>
        <w:rPr>
          <w:color w:val="000000" w:themeColor="text1"/>
        </w:rPr>
        <w:t>10,50</w:t>
      </w:r>
      <w:r w:rsidRPr="00292503">
        <w:rPr>
          <w:color w:val="000000" w:themeColor="text1"/>
        </w:rPr>
        <w:t xml:space="preserve">% e na Segunda Instância um aumento de </w:t>
      </w:r>
      <w:r>
        <w:rPr>
          <w:color w:val="000000" w:themeColor="text1"/>
        </w:rPr>
        <w:t>40,79</w:t>
      </w:r>
      <w:r w:rsidRPr="00292503">
        <w:rPr>
          <w:color w:val="000000" w:themeColor="text1"/>
        </w:rPr>
        <w:t>%, demonstrando, com isso, um aumento de produtividade.</w:t>
      </w:r>
    </w:p>
    <w:p w:rsidR="00CA7061" w:rsidRDefault="00CA7061" w:rsidP="00CA7061">
      <w:pPr>
        <w:rPr>
          <w:color w:val="000000" w:themeColor="text1"/>
        </w:rPr>
      </w:pPr>
      <w:r w:rsidRPr="00701938">
        <w:t xml:space="preserve">À </w:t>
      </w:r>
      <w:r>
        <w:t>v</w:t>
      </w:r>
      <w:r w:rsidRPr="00701938">
        <w:t xml:space="preserve">ista da </w:t>
      </w:r>
      <w:r w:rsidRPr="008D572E">
        <w:t>relação direta entre esses dois indicadores, observa-se ainda um apontamento positivo no quantitativo do acervo processual da instituição, a saber</w:t>
      </w:r>
      <w:r>
        <w:t xml:space="preserve">: </w:t>
      </w:r>
      <w:r w:rsidRPr="008D572E">
        <w:t xml:space="preserve"> comparando-se o acervo existente em 2020 e </w:t>
      </w:r>
      <w:r w:rsidRPr="00292503">
        <w:rPr>
          <w:color w:val="000000" w:themeColor="text1"/>
        </w:rPr>
        <w:t>em 2024, houve um decréscimo no volume processual da Primeira Instância na ordem de 6,81% e no volume processual da Segunda Instância de 7,91%.</w:t>
      </w:r>
    </w:p>
    <w:p w:rsidR="00CA7061" w:rsidRDefault="00CA7061" w:rsidP="00CA7061">
      <w:r>
        <w:t>3.4 Instalações Prediais</w:t>
      </w:r>
    </w:p>
    <w:p w:rsidR="00CA7061" w:rsidRPr="00B32560" w:rsidRDefault="00CA7061" w:rsidP="00CA7061">
      <w:r>
        <w:t>Em relação ao número de instalações prediais, o TJMG dispõe atualmente de 516 edificações, sendo 365 prédios próprios, 106 prédios alugados e 35 prédios cedidos por outros órgãos ao Tribunal. Vale ressaltar que existem algumas edificações cedidas pelo TJMG a outros órgãos, por meio de Termos de Cessões que contemplam imóveis ou áreas dentro das edificações dos Fóruns. Há ainda 10 imóveis em processo de desapropriação.</w:t>
      </w:r>
    </w:p>
    <w:p w:rsidR="00CA7061" w:rsidRDefault="00CA7061" w:rsidP="00CA7061">
      <w:pPr>
        <w:spacing w:after="0" w:line="240" w:lineRule="auto"/>
        <w:jc w:val="left"/>
        <w:rPr>
          <w:sz w:val="16"/>
          <w:szCs w:val="16"/>
        </w:rPr>
      </w:pPr>
      <w:r>
        <w:rPr>
          <w:sz w:val="16"/>
          <w:szCs w:val="16"/>
        </w:rPr>
        <w:fldChar w:fldCharType="begin"/>
      </w:r>
      <w:r>
        <w:rPr>
          <w:sz w:val="16"/>
          <w:szCs w:val="16"/>
        </w:rPr>
        <w:instrText xml:space="preserve"> TC  "</w:instrText>
      </w:r>
      <w:bookmarkStart w:id="11" w:name="_Toc189119793"/>
      <w:r>
        <w:rPr>
          <w:sz w:val="16"/>
          <w:szCs w:val="16"/>
        </w:rPr>
        <w:instrText>Figura 07 - Instalações prediais do TJMG</w:instrText>
      </w:r>
      <w:bookmarkEnd w:id="11"/>
      <w:r>
        <w:rPr>
          <w:sz w:val="16"/>
          <w:szCs w:val="16"/>
        </w:rPr>
        <w:instrText xml:space="preserve">" \f f\l 1 </w:instrText>
      </w:r>
      <w:r>
        <w:rPr>
          <w:sz w:val="16"/>
          <w:szCs w:val="16"/>
        </w:rPr>
        <w:fldChar w:fldCharType="end"/>
      </w:r>
      <w:r>
        <w:rPr>
          <w:sz w:val="16"/>
          <w:szCs w:val="16"/>
        </w:rPr>
        <w:t xml:space="preserve">Figura 07 - Instalações prediais do TJMG. </w:t>
      </w:r>
      <w:r w:rsidRPr="000258AC">
        <w:rPr>
          <w:sz w:val="16"/>
          <w:szCs w:val="16"/>
        </w:rPr>
        <w:t xml:space="preserve">Fonte: Centro de Informações para a Gestão Institucional </w:t>
      </w:r>
      <w:r>
        <w:rPr>
          <w:sz w:val="16"/>
          <w:szCs w:val="16"/>
        </w:rPr>
        <w:t>–</w:t>
      </w:r>
      <w:r w:rsidRPr="000258AC">
        <w:rPr>
          <w:sz w:val="16"/>
          <w:szCs w:val="16"/>
        </w:rPr>
        <w:t xml:space="preserve"> CEINFO</w:t>
      </w:r>
    </w:p>
    <w:p w:rsidR="00967653" w:rsidRDefault="00967653" w:rsidP="00967653"/>
    <w:p w:rsidR="00CA7061" w:rsidRDefault="00CA7061" w:rsidP="00CA7061">
      <w:r>
        <w:t>3.5</w:t>
      </w:r>
      <w:r>
        <w:tab/>
        <w:t>Orçamento TJMG</w:t>
      </w:r>
    </w:p>
    <w:p w:rsidR="00CA7061" w:rsidRDefault="00CA7061" w:rsidP="00CA7061"/>
    <w:p w:rsidR="00CA7061" w:rsidRDefault="00CA7061" w:rsidP="00CA7061">
      <w:r>
        <w:t>3.5.1</w:t>
      </w:r>
      <w:r>
        <w:tab/>
        <w:t>Execução Orçamentária de 2024</w:t>
      </w:r>
    </w:p>
    <w:p w:rsidR="00CA7061" w:rsidRDefault="00CA7061" w:rsidP="00CA7061">
      <w:r>
        <w:t xml:space="preserve">No que se refere à execução orçamentária do exercício de 2024, de maneira geral, percebe-se que os percentuais de execução foram adequados, observada a metodologia estabelecida no Manual de Monitoramento do SIGPLAN, que considera como </w:t>
      </w:r>
      <w:r>
        <w:lastRenderedPageBreak/>
        <w:t>satisfatório o desempenho entre 70% e 130% na unidade orçamentária 1031. Já na unidade orçamentária 4031, as ações de Gestão de TIC e Processamento Judiciário apresentaram execução orçamentária abaixo de 70%.</w:t>
      </w:r>
    </w:p>
    <w:p w:rsidR="004021D7" w:rsidRDefault="004021D7" w:rsidP="00CA7061"/>
    <w:p w:rsidR="004021D7" w:rsidRDefault="004021D7" w:rsidP="00CA7061">
      <w:r>
        <w:t>[INSERIR_QUEBRA_PAGINA]</w:t>
      </w:r>
    </w:p>
    <w:p w:rsidR="005F2518" w:rsidRDefault="005F2518" w:rsidP="00CA7061">
      <w:r>
        <w:t>[</w:t>
      </w:r>
      <w:r w:rsidR="00160AB6">
        <w:t>INSERIR</w:t>
      </w:r>
      <w:r>
        <w:t>_TABELA_ORCAMENTO]</w:t>
      </w:r>
    </w:p>
    <w:p w:rsidR="0021189E" w:rsidRDefault="007F79C6" w:rsidP="007F79C6">
      <w:pPr>
        <w:rPr>
          <w:sz w:val="16"/>
          <w:szCs w:val="16"/>
        </w:rPr>
      </w:pPr>
      <w:r>
        <w:rPr>
          <w:sz w:val="16"/>
          <w:szCs w:val="16"/>
        </w:rPr>
        <w:fldChar w:fldCharType="begin"/>
      </w:r>
      <w:r>
        <w:rPr>
          <w:sz w:val="16"/>
          <w:szCs w:val="16"/>
        </w:rPr>
        <w:instrText xml:space="preserve"> TC  "</w:instrText>
      </w:r>
      <w:bookmarkStart w:id="12" w:name="_Toc189119794"/>
      <w:r>
        <w:rPr>
          <w:sz w:val="16"/>
          <w:szCs w:val="16"/>
        </w:rPr>
        <w:instrText>Fi</w:instrText>
      </w:r>
      <w:r w:rsidRPr="00D842AD">
        <w:rPr>
          <w:sz w:val="16"/>
          <w:szCs w:val="16"/>
        </w:rPr>
        <w:instrText xml:space="preserve">gura </w:instrText>
      </w:r>
      <w:r>
        <w:rPr>
          <w:sz w:val="16"/>
          <w:szCs w:val="16"/>
        </w:rPr>
        <w:instrText>08 -</w:instrText>
      </w:r>
      <w:r w:rsidRPr="00D842AD">
        <w:rPr>
          <w:sz w:val="16"/>
          <w:szCs w:val="16"/>
        </w:rPr>
        <w:instrText xml:space="preserve"> Desempenho da ação por programa (Unidade 1031)</w:instrText>
      </w:r>
      <w:bookmarkEnd w:id="12"/>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Pr>
          <w:sz w:val="16"/>
          <w:szCs w:val="16"/>
        </w:rPr>
        <w:t>Fi</w:t>
      </w:r>
      <w:r w:rsidRPr="00D842AD">
        <w:rPr>
          <w:sz w:val="16"/>
          <w:szCs w:val="16"/>
        </w:rPr>
        <w:t xml:space="preserve">gura </w:t>
      </w:r>
      <w:r>
        <w:rPr>
          <w:sz w:val="16"/>
          <w:szCs w:val="16"/>
        </w:rPr>
        <w:t>08 -</w:t>
      </w:r>
      <w:r w:rsidRPr="00D842AD">
        <w:rPr>
          <w:sz w:val="16"/>
          <w:szCs w:val="16"/>
        </w:rPr>
        <w:t xml:space="preserve"> Desempenho da ação por programa (Unidade 1031). Fonte</w:t>
      </w:r>
      <w:r w:rsidR="00C13655">
        <w:rPr>
          <w:sz w:val="16"/>
          <w:szCs w:val="16"/>
        </w:rPr>
        <w:t>:</w:t>
      </w:r>
      <w:r w:rsidRPr="00D842AD">
        <w:rPr>
          <w:sz w:val="16"/>
          <w:szCs w:val="16"/>
        </w:rPr>
        <w:t xml:space="preserve"> </w:t>
      </w:r>
      <w:proofErr w:type="spellStart"/>
      <w:r w:rsidRPr="00D842AD">
        <w:rPr>
          <w:sz w:val="16"/>
          <w:szCs w:val="16"/>
        </w:rPr>
        <w:t>Sigplan</w:t>
      </w:r>
      <w:proofErr w:type="spellEnd"/>
      <w:r>
        <w:rPr>
          <w:sz w:val="16"/>
          <w:szCs w:val="16"/>
        </w:rPr>
        <w:t>.</w:t>
      </w:r>
    </w:p>
    <w:p w:rsidR="00D13AF7" w:rsidRPr="00D13AF7" w:rsidRDefault="00D13AF7" w:rsidP="007F79C6">
      <w:r>
        <w:t>[INSERIR_QUEBRA_PAGINA]</w:t>
      </w:r>
    </w:p>
    <w:p w:rsidR="0021189E" w:rsidRDefault="0021189E" w:rsidP="0021189E">
      <w:r>
        <w:t>[INSERIR_TABELA_ORCAMENTO_ACAO]</w:t>
      </w:r>
    </w:p>
    <w:p w:rsidR="0021189E" w:rsidRDefault="0021189E" w:rsidP="0021189E">
      <w:pPr>
        <w:rPr>
          <w:sz w:val="16"/>
          <w:szCs w:val="16"/>
        </w:rPr>
      </w:pPr>
      <w:r w:rsidRPr="00434729">
        <w:rPr>
          <w:sz w:val="16"/>
          <w:szCs w:val="16"/>
        </w:rPr>
        <w:t xml:space="preserve">Figura </w:t>
      </w:r>
      <w:r>
        <w:rPr>
          <w:sz w:val="16"/>
          <w:szCs w:val="16"/>
        </w:rPr>
        <w:t>09 -</w:t>
      </w:r>
      <w:r w:rsidRPr="00434729">
        <w:rPr>
          <w:sz w:val="16"/>
          <w:szCs w:val="16"/>
        </w:rPr>
        <w:t xml:space="preserve"> Desempenho da ação por programa (Unidade 4031). Fonte</w:t>
      </w:r>
      <w:r w:rsidR="00C13655">
        <w:rPr>
          <w:sz w:val="16"/>
          <w:szCs w:val="16"/>
        </w:rPr>
        <w:t xml:space="preserve">: </w:t>
      </w:r>
      <w:proofErr w:type="spellStart"/>
      <w:r w:rsidRPr="00434729">
        <w:rPr>
          <w:sz w:val="16"/>
          <w:szCs w:val="16"/>
        </w:rPr>
        <w:t>Sigplan</w:t>
      </w:r>
      <w:proofErr w:type="spellEnd"/>
      <w:r>
        <w:rPr>
          <w:sz w:val="16"/>
          <w:szCs w:val="16"/>
        </w:rPr>
        <w:t>.</w:t>
      </w:r>
    </w:p>
    <w:p w:rsidR="00A44C60" w:rsidRDefault="00A44C60" w:rsidP="0021189E">
      <w:r>
        <w:t>[INSERIR_QUEBRA_PAGINA]</w:t>
      </w:r>
    </w:p>
    <w:p w:rsidR="00437F91" w:rsidRDefault="00437F91" w:rsidP="00437F91">
      <w:r>
        <w:t>3.5.2</w:t>
      </w:r>
      <w:r>
        <w:tab/>
        <w:t>Orçamento 2025</w:t>
      </w:r>
    </w:p>
    <w:p w:rsidR="00437F91" w:rsidRDefault="00437F91" w:rsidP="00437F91">
      <w:r>
        <w:t>O orçamento do TJMG para o Exercício de 2025 apresenta a estimativa de receitas e programação de despesas por meio das Unidades Orçamentárias 1031 – Tribunal de Justiça do Estado de Minas Gerais – TJMG e 4031 – Fundo Especial do Poder Judiciário do Estado de Minas Gerais – FEPJ.</w:t>
      </w:r>
    </w:p>
    <w:p w:rsidR="00437F91" w:rsidRDefault="00437F91" w:rsidP="00437F91">
      <w:r>
        <w:t>O valor total estimado de despesas para a Unidade Orçamentária 1031 é de R$ 11.110.261.852,00 (onze bilhões cento e dez milhões duzentos e sessenta e um mil oitocentos e cinquenta e dois reais), conforme disposto na Lei Orçamentária Anual nº 25.124, de 30 de dezembro de 2024.</w:t>
      </w:r>
    </w:p>
    <w:p w:rsidR="00437F91" w:rsidRDefault="00437F91" w:rsidP="00437F91">
      <w:r>
        <w:t>Com relação à Unidade Orçamentária 4031, a estimativa de despesas perfaz o total de R$ 3.615.335.151,00 (três bilhões seiscentos e trinta e cinco milhões cento e cinquenta e um mil reais), também em conformidade com o que estabelece a referida Lei Orçamentária Anual nº 25.124, de 30 de dezembro de 2024.</w:t>
      </w:r>
    </w:p>
    <w:p w:rsidR="00437F91" w:rsidRDefault="00437F91" w:rsidP="00437F91">
      <w:r>
        <w:t xml:space="preserve">Na UO 1031 – TJMG são realizados os pagamentos relativos à folha de pessoal, bem como são pagos, prioritariamente, os auxílios concedidos a magistrados e servidores. </w:t>
      </w:r>
    </w:p>
    <w:p w:rsidR="00437F91" w:rsidRDefault="00437F91" w:rsidP="00437F91">
      <w:r>
        <w:t xml:space="preserve">Por sua vez, por meio da UO 4031 – FEPJ são efetivados os gastos referentes a outras despesas correntes (terceirização de mão-de-obra, estagiários, juízes leigos, verbas de transporte devidas aos Oficiais de Justiça e de Cartório, água, energia elétrica, telefonia, </w:t>
      </w:r>
      <w:r>
        <w:lastRenderedPageBreak/>
        <w:t>locação de imóveis, material de consumo, dentre outras), a investimentos (obras e reformas, aquisição de imóveis, equipamentos, veículos, mobiliário etc.).</w:t>
      </w:r>
    </w:p>
    <w:p w:rsidR="00437F91" w:rsidRDefault="00437F91" w:rsidP="00437F91">
      <w:r>
        <w:t>As atividades e os projetos planejados anualmente são estruturados em programas que, por sua vez, são desdobrados em ações orçamentárias.</w:t>
      </w:r>
    </w:p>
    <w:p w:rsidR="007F79C6" w:rsidRDefault="00437F91" w:rsidP="00437F91">
      <w:r>
        <w:t>Abaixo, apresenta-se a distribuição por ação orçamentária do Orçamento de 2025.</w:t>
      </w:r>
    </w:p>
    <w:p w:rsidR="00B71EBF" w:rsidRDefault="00B71EBF" w:rsidP="00437F91">
      <w:r>
        <w:t>[INSERIR_QUEBRA_PAGINA]</w:t>
      </w:r>
    </w:p>
    <w:p w:rsidR="00B71EBF" w:rsidRDefault="00B71EBF" w:rsidP="00437F91">
      <w:r>
        <w:t>[INSERIR_</w:t>
      </w:r>
      <w:r w:rsidR="003E682B" w:rsidRPr="003E682B">
        <w:t>TABELA_ORCAMENTO_CONJUNTO</w:t>
      </w:r>
      <w:r>
        <w:t>]</w:t>
      </w:r>
    </w:p>
    <w:p w:rsidR="00786278" w:rsidRDefault="00786278" w:rsidP="00786278">
      <w:pPr>
        <w:spacing w:before="0" w:after="0"/>
        <w:contextualSpacing/>
        <w:jc w:val="left"/>
        <w:rPr>
          <w:rFonts w:cstheme="minorHAnsi"/>
          <w:szCs w:val="24"/>
        </w:rPr>
      </w:pPr>
      <w:r w:rsidRPr="00612288">
        <w:rPr>
          <w:rFonts w:cstheme="minorHAnsi"/>
          <w:szCs w:val="24"/>
        </w:rPr>
        <w:t xml:space="preserve">No tocante ao processo de elaboração do Orçamento para o Exercício de 2025, importa esclarecer que </w:t>
      </w:r>
      <w:r>
        <w:rPr>
          <w:rFonts w:cstheme="minorHAnsi"/>
          <w:szCs w:val="24"/>
        </w:rPr>
        <w:t>foram utilizados parâmetros para formulação da proposta orçamentária do TJMG, quais sejam:</w:t>
      </w:r>
    </w:p>
    <w:p w:rsidR="00786278" w:rsidRDefault="00786278" w:rsidP="00786278">
      <w:pPr>
        <w:spacing w:before="0" w:after="0"/>
        <w:contextualSpacing/>
        <w:jc w:val="left"/>
        <w:rPr>
          <w:rFonts w:cstheme="minorHAnsi"/>
          <w:szCs w:val="24"/>
        </w:rPr>
      </w:pPr>
      <w:r w:rsidRPr="00786278">
        <w:rPr>
          <w:rFonts w:cstheme="minorHAnsi"/>
          <w:szCs w:val="24"/>
        </w:rPr>
        <w:t>[INICIAR_LISTA_MARCADORES]</w:t>
      </w:r>
    </w:p>
    <w:p w:rsidR="00786278" w:rsidRPr="00F970FD" w:rsidRDefault="00786278" w:rsidP="00786278">
      <w:pPr>
        <w:numPr>
          <w:ilvl w:val="0"/>
          <w:numId w:val="6"/>
        </w:numPr>
        <w:contextualSpacing/>
        <w:rPr>
          <w:rFonts w:cstheme="minorHAnsi"/>
          <w:szCs w:val="24"/>
        </w:rPr>
      </w:pPr>
      <w:r w:rsidRPr="00F970FD">
        <w:rPr>
          <w:rFonts w:cstheme="minorHAnsi"/>
          <w:szCs w:val="24"/>
        </w:rPr>
        <w:t>Lei Estadual nº 24.945, de 02 de agosto de 2024 (Lei de Diretrizes Orçamentárias) e conjunto normativo relacionado ao tema;</w:t>
      </w:r>
    </w:p>
    <w:p w:rsidR="00786278" w:rsidRPr="00A53A1B" w:rsidRDefault="00786278" w:rsidP="00786278">
      <w:pPr>
        <w:numPr>
          <w:ilvl w:val="0"/>
          <w:numId w:val="6"/>
        </w:numPr>
        <w:contextualSpacing/>
        <w:rPr>
          <w:rFonts w:cstheme="minorHAnsi"/>
          <w:szCs w:val="24"/>
        </w:rPr>
      </w:pPr>
      <w:r w:rsidRPr="00A53A1B">
        <w:rPr>
          <w:rFonts w:cstheme="minorHAnsi"/>
          <w:szCs w:val="24"/>
        </w:rPr>
        <w:t>Diretrizes da Presidência do TJMG;</w:t>
      </w:r>
    </w:p>
    <w:p w:rsidR="00786278" w:rsidRPr="00A53A1B" w:rsidRDefault="00786278" w:rsidP="00786278">
      <w:pPr>
        <w:numPr>
          <w:ilvl w:val="0"/>
          <w:numId w:val="6"/>
        </w:numPr>
        <w:contextualSpacing/>
        <w:rPr>
          <w:rFonts w:cstheme="minorHAnsi"/>
          <w:szCs w:val="24"/>
        </w:rPr>
      </w:pPr>
      <w:r w:rsidRPr="00A53A1B">
        <w:rPr>
          <w:rFonts w:cstheme="minorHAnsi"/>
          <w:szCs w:val="24"/>
        </w:rPr>
        <w:t>Receita Corrente Líquida estimada</w:t>
      </w:r>
      <w:r>
        <w:rPr>
          <w:rFonts w:cstheme="minorHAnsi"/>
          <w:szCs w:val="24"/>
        </w:rPr>
        <w:t xml:space="preserve"> para o Exercício de 2025</w:t>
      </w:r>
      <w:r w:rsidRPr="00A53A1B">
        <w:rPr>
          <w:rFonts w:cstheme="minorHAnsi"/>
          <w:szCs w:val="24"/>
        </w:rPr>
        <w:t>, conforme informação do Poder Executivo;</w:t>
      </w:r>
    </w:p>
    <w:p w:rsidR="00786278" w:rsidRPr="00A53A1B" w:rsidRDefault="00786278" w:rsidP="00786278">
      <w:pPr>
        <w:numPr>
          <w:ilvl w:val="0"/>
          <w:numId w:val="6"/>
        </w:numPr>
        <w:contextualSpacing/>
        <w:rPr>
          <w:rFonts w:cstheme="minorHAnsi"/>
          <w:szCs w:val="24"/>
        </w:rPr>
      </w:pPr>
      <w:r w:rsidRPr="00A53A1B">
        <w:rPr>
          <w:rFonts w:cstheme="minorHAnsi"/>
          <w:szCs w:val="24"/>
        </w:rPr>
        <w:t>Estimativa de receitas do F</w:t>
      </w:r>
      <w:r>
        <w:rPr>
          <w:rFonts w:cstheme="minorHAnsi"/>
          <w:szCs w:val="24"/>
        </w:rPr>
        <w:t>undo Especial do Poder Judiciário - F</w:t>
      </w:r>
      <w:r w:rsidRPr="00A53A1B">
        <w:rPr>
          <w:rFonts w:cstheme="minorHAnsi"/>
          <w:szCs w:val="24"/>
        </w:rPr>
        <w:t>EPJ (</w:t>
      </w:r>
      <w:r>
        <w:rPr>
          <w:rFonts w:cstheme="minorHAnsi"/>
          <w:szCs w:val="24"/>
        </w:rPr>
        <w:t>U</w:t>
      </w:r>
      <w:r w:rsidRPr="00A53A1B">
        <w:rPr>
          <w:rFonts w:cstheme="minorHAnsi"/>
          <w:szCs w:val="24"/>
        </w:rPr>
        <w:t>O 4031) realizada pela DIRFIN;</w:t>
      </w:r>
    </w:p>
    <w:p w:rsidR="00786278" w:rsidRPr="00A53A1B" w:rsidRDefault="00786278" w:rsidP="00786278">
      <w:pPr>
        <w:numPr>
          <w:ilvl w:val="0"/>
          <w:numId w:val="6"/>
        </w:numPr>
        <w:contextualSpacing/>
        <w:rPr>
          <w:rFonts w:cstheme="minorHAnsi"/>
          <w:szCs w:val="24"/>
        </w:rPr>
      </w:pPr>
      <w:r w:rsidRPr="00A53A1B">
        <w:rPr>
          <w:rFonts w:cstheme="minorHAnsi"/>
          <w:szCs w:val="24"/>
        </w:rPr>
        <w:t>Plano de Obras;</w:t>
      </w:r>
    </w:p>
    <w:p w:rsidR="00786278" w:rsidRPr="00A53A1B" w:rsidRDefault="00786278" w:rsidP="00786278">
      <w:pPr>
        <w:numPr>
          <w:ilvl w:val="0"/>
          <w:numId w:val="6"/>
        </w:numPr>
        <w:contextualSpacing/>
        <w:rPr>
          <w:rFonts w:cstheme="minorHAnsi"/>
          <w:szCs w:val="24"/>
        </w:rPr>
      </w:pPr>
      <w:r w:rsidRPr="00A53A1B">
        <w:rPr>
          <w:rFonts w:cstheme="minorHAnsi"/>
          <w:szCs w:val="24"/>
        </w:rPr>
        <w:t>Programações de despesas informadas pelas áreas gestoras (UO 4031 – FEPJ), unidades administrativas, entendidas como aquelas responsáveis pela programação e execução orçamentária e financeira das despesas referentes às suas respectivas áreas de atuação;</w:t>
      </w:r>
    </w:p>
    <w:p w:rsidR="00786278" w:rsidRPr="00A53A1B" w:rsidRDefault="00786278" w:rsidP="00786278">
      <w:pPr>
        <w:numPr>
          <w:ilvl w:val="0"/>
          <w:numId w:val="6"/>
        </w:numPr>
        <w:contextualSpacing/>
        <w:rPr>
          <w:rFonts w:cstheme="minorHAnsi"/>
          <w:szCs w:val="24"/>
        </w:rPr>
      </w:pPr>
      <w:r w:rsidRPr="00A53A1B">
        <w:rPr>
          <w:rFonts w:cstheme="minorHAnsi"/>
          <w:szCs w:val="24"/>
        </w:rPr>
        <w:t>Estimativas de crescimento vegetativo para composição da programação das despesas com pessoal e encargos sociais;</w:t>
      </w:r>
    </w:p>
    <w:p w:rsidR="00786278" w:rsidRPr="00A53A1B" w:rsidRDefault="00786278" w:rsidP="00786278">
      <w:pPr>
        <w:numPr>
          <w:ilvl w:val="0"/>
          <w:numId w:val="6"/>
        </w:numPr>
        <w:contextualSpacing/>
        <w:rPr>
          <w:rFonts w:cstheme="minorHAnsi"/>
          <w:szCs w:val="24"/>
        </w:rPr>
      </w:pPr>
      <w:r w:rsidRPr="00A53A1B">
        <w:rPr>
          <w:rFonts w:cstheme="minorHAnsi"/>
          <w:szCs w:val="24"/>
        </w:rPr>
        <w:t>Normativos do CNJ, especialmente as Resoluções nº 195/14 e nº 198/14;</w:t>
      </w:r>
    </w:p>
    <w:p w:rsidR="00786278" w:rsidRDefault="00786278" w:rsidP="00786278">
      <w:pPr>
        <w:numPr>
          <w:ilvl w:val="0"/>
          <w:numId w:val="6"/>
        </w:numPr>
        <w:contextualSpacing/>
        <w:rPr>
          <w:rFonts w:cstheme="minorHAnsi"/>
          <w:szCs w:val="24"/>
        </w:rPr>
      </w:pPr>
      <w:r w:rsidRPr="00A53A1B">
        <w:rPr>
          <w:rFonts w:cstheme="minorHAnsi"/>
          <w:szCs w:val="24"/>
        </w:rPr>
        <w:t>Projeções macroeconômicas.</w:t>
      </w:r>
    </w:p>
    <w:p w:rsidR="00786278" w:rsidRDefault="00786278" w:rsidP="00786278">
      <w:pPr>
        <w:spacing w:before="0" w:after="0"/>
        <w:contextualSpacing/>
        <w:jc w:val="left"/>
        <w:rPr>
          <w:rFonts w:cstheme="minorHAnsi"/>
          <w:szCs w:val="24"/>
        </w:rPr>
      </w:pPr>
      <w:r w:rsidRPr="00786278">
        <w:rPr>
          <w:rFonts w:cstheme="minorHAnsi"/>
          <w:szCs w:val="24"/>
        </w:rPr>
        <w:t>[FINALIZAR_LISTA_MARCADORES]</w:t>
      </w:r>
    </w:p>
    <w:p w:rsidR="00786278" w:rsidRDefault="00786278" w:rsidP="00786278">
      <w:pPr>
        <w:contextualSpacing/>
        <w:rPr>
          <w:rFonts w:cstheme="minorHAnsi"/>
          <w:szCs w:val="24"/>
        </w:rPr>
      </w:pPr>
      <w:r>
        <w:rPr>
          <w:rFonts w:cstheme="minorHAnsi"/>
          <w:szCs w:val="24"/>
        </w:rPr>
        <w:t xml:space="preserve">Entre os parâmetros utilizados para a composição das despesas relativas ao Fundo Especial do Poder Judiciário, merece destaque o programa de aperfeiçoamento e Gestão </w:t>
      </w:r>
      <w:r>
        <w:rPr>
          <w:rFonts w:cstheme="minorHAnsi"/>
          <w:szCs w:val="24"/>
        </w:rPr>
        <w:lastRenderedPageBreak/>
        <w:t>Orçamentária em andamento, que trouxe e deverá trazer melhorias à gestão do Orçamento. O Programa consiste em intervenções para a melhoria de processos e/ou ferramentas nas diversas fases da gestão orçamentária realizada no âmbito do TJMG.</w:t>
      </w:r>
    </w:p>
    <w:p w:rsidR="00786278" w:rsidRDefault="00786278" w:rsidP="00786278">
      <w:pPr>
        <w:spacing w:before="0" w:after="0"/>
        <w:contextualSpacing/>
        <w:jc w:val="left"/>
        <w:rPr>
          <w:rFonts w:cstheme="minorHAnsi"/>
          <w:szCs w:val="24"/>
        </w:rPr>
      </w:pPr>
      <w:r>
        <w:rPr>
          <w:rFonts w:cstheme="minorHAnsi"/>
          <w:szCs w:val="24"/>
        </w:rPr>
        <w:t>Destacam-se os normativos e diretrizes que fundamentam a instituição do referido programa:</w:t>
      </w:r>
    </w:p>
    <w:p w:rsidR="00786278" w:rsidRDefault="00786278" w:rsidP="00786278">
      <w:pPr>
        <w:spacing w:before="0" w:after="0"/>
        <w:contextualSpacing/>
        <w:jc w:val="left"/>
        <w:rPr>
          <w:rFonts w:cstheme="minorHAnsi"/>
          <w:szCs w:val="24"/>
        </w:rPr>
      </w:pPr>
      <w:r w:rsidRPr="00786278">
        <w:rPr>
          <w:rFonts w:cstheme="minorHAnsi"/>
          <w:szCs w:val="24"/>
        </w:rPr>
        <w:t>[INICIAR_LISTA_MARCADORES]</w:t>
      </w:r>
    </w:p>
    <w:p w:rsidR="00786278" w:rsidRDefault="00786278" w:rsidP="00786278">
      <w:pPr>
        <w:pStyle w:val="PargrafodaLista"/>
        <w:numPr>
          <w:ilvl w:val="0"/>
          <w:numId w:val="7"/>
        </w:numPr>
        <w:rPr>
          <w:rFonts w:cstheme="minorHAnsi"/>
          <w:szCs w:val="24"/>
        </w:rPr>
      </w:pPr>
      <w:r>
        <w:rPr>
          <w:rFonts w:cstheme="minorHAnsi"/>
          <w:szCs w:val="24"/>
        </w:rPr>
        <w:t>Resoluções CNJ 195/2014, 325/2020 e 347/2020;</w:t>
      </w:r>
    </w:p>
    <w:p w:rsidR="00786278" w:rsidRDefault="00786278" w:rsidP="00786278">
      <w:pPr>
        <w:pStyle w:val="PargrafodaLista"/>
        <w:numPr>
          <w:ilvl w:val="0"/>
          <w:numId w:val="7"/>
        </w:numPr>
        <w:rPr>
          <w:rFonts w:cstheme="minorHAnsi"/>
          <w:szCs w:val="24"/>
        </w:rPr>
      </w:pPr>
      <w:r>
        <w:rPr>
          <w:rFonts w:cstheme="minorHAnsi"/>
          <w:szCs w:val="24"/>
        </w:rPr>
        <w:t>Recomendação CNJ nº 147/2023;</w:t>
      </w:r>
    </w:p>
    <w:p w:rsidR="00786278" w:rsidRDefault="00786278" w:rsidP="00786278">
      <w:pPr>
        <w:pStyle w:val="PargrafodaLista"/>
        <w:numPr>
          <w:ilvl w:val="0"/>
          <w:numId w:val="7"/>
        </w:numPr>
        <w:rPr>
          <w:rFonts w:cstheme="minorHAnsi"/>
          <w:szCs w:val="24"/>
        </w:rPr>
      </w:pPr>
      <w:r>
        <w:rPr>
          <w:rFonts w:cstheme="minorHAnsi"/>
          <w:szCs w:val="24"/>
        </w:rPr>
        <w:t>Lei nº 14.133/2021 – Nova Lei de Licitações e Contratos;</w:t>
      </w:r>
    </w:p>
    <w:p w:rsidR="00786278" w:rsidRPr="00786278" w:rsidRDefault="00786278" w:rsidP="00786278">
      <w:pPr>
        <w:pStyle w:val="PargrafodaLista"/>
        <w:numPr>
          <w:ilvl w:val="0"/>
          <w:numId w:val="7"/>
        </w:numPr>
        <w:rPr>
          <w:rFonts w:cstheme="minorHAnsi"/>
          <w:szCs w:val="24"/>
        </w:rPr>
      </w:pPr>
      <w:r>
        <w:rPr>
          <w:rFonts w:cstheme="minorHAnsi"/>
          <w:szCs w:val="24"/>
        </w:rPr>
        <w:t>Inspeção CNJ – TJMG 2023.</w:t>
      </w:r>
    </w:p>
    <w:p w:rsidR="00786278" w:rsidRDefault="00786278" w:rsidP="00786278">
      <w:pPr>
        <w:spacing w:before="0" w:after="0"/>
        <w:contextualSpacing/>
        <w:jc w:val="left"/>
        <w:rPr>
          <w:rFonts w:cstheme="minorHAnsi"/>
          <w:szCs w:val="24"/>
        </w:rPr>
      </w:pPr>
      <w:r w:rsidRPr="00786278">
        <w:rPr>
          <w:rFonts w:cstheme="minorHAnsi"/>
          <w:szCs w:val="24"/>
        </w:rPr>
        <w:t>[FINALIZAR_LISTA_MARCADORES]</w:t>
      </w:r>
    </w:p>
    <w:p w:rsidR="00786278" w:rsidRDefault="00786278" w:rsidP="00786278">
      <w:pPr>
        <w:contextualSpacing/>
        <w:rPr>
          <w:rFonts w:cstheme="minorHAnsi"/>
          <w:szCs w:val="24"/>
        </w:rPr>
      </w:pPr>
      <w:r>
        <w:rPr>
          <w:rFonts w:cstheme="minorHAnsi"/>
          <w:szCs w:val="24"/>
        </w:rPr>
        <w:t>No Exercício de 2024, cumpre destacar que a Proposta Orçamentária relativa ao Exercício de 2025 foi construída a partir de uma mudança de metodologia de fixação de despesas, sendo:</w:t>
      </w:r>
    </w:p>
    <w:p w:rsidR="00786278" w:rsidRDefault="00786278" w:rsidP="00786278">
      <w:pPr>
        <w:spacing w:before="0" w:after="0"/>
        <w:contextualSpacing/>
        <w:jc w:val="left"/>
        <w:rPr>
          <w:rFonts w:cstheme="minorHAnsi"/>
          <w:szCs w:val="24"/>
        </w:rPr>
      </w:pPr>
      <w:r w:rsidRPr="00786278">
        <w:rPr>
          <w:rFonts w:cstheme="minorHAnsi"/>
          <w:szCs w:val="24"/>
        </w:rPr>
        <w:t>[INICIAR_LISTA_MARCADORES]</w:t>
      </w:r>
    </w:p>
    <w:p w:rsidR="00786278" w:rsidRDefault="00786278" w:rsidP="00786278">
      <w:pPr>
        <w:pStyle w:val="PargrafodaLista"/>
        <w:numPr>
          <w:ilvl w:val="0"/>
          <w:numId w:val="8"/>
        </w:numPr>
        <w:rPr>
          <w:rFonts w:cstheme="minorHAnsi"/>
          <w:szCs w:val="24"/>
        </w:rPr>
      </w:pPr>
      <w:r>
        <w:rPr>
          <w:rFonts w:cstheme="minorHAnsi"/>
          <w:szCs w:val="24"/>
        </w:rPr>
        <w:t>Programação por contratos vigentes e contínuos;</w:t>
      </w:r>
    </w:p>
    <w:p w:rsidR="00786278" w:rsidRDefault="00786278" w:rsidP="00786278">
      <w:pPr>
        <w:pStyle w:val="PargrafodaLista"/>
        <w:numPr>
          <w:ilvl w:val="0"/>
          <w:numId w:val="8"/>
        </w:numPr>
        <w:rPr>
          <w:rFonts w:cstheme="minorHAnsi"/>
          <w:szCs w:val="24"/>
        </w:rPr>
      </w:pPr>
      <w:r>
        <w:rPr>
          <w:rFonts w:cstheme="minorHAnsi"/>
          <w:szCs w:val="24"/>
        </w:rPr>
        <w:t>Ferramentas de colaboração online para a Programação de Despesas;</w:t>
      </w:r>
    </w:p>
    <w:p w:rsidR="00786278" w:rsidRPr="00786278" w:rsidRDefault="00786278" w:rsidP="00786278">
      <w:pPr>
        <w:pStyle w:val="PargrafodaLista"/>
        <w:numPr>
          <w:ilvl w:val="0"/>
          <w:numId w:val="8"/>
        </w:numPr>
        <w:rPr>
          <w:rFonts w:cstheme="minorHAnsi"/>
          <w:szCs w:val="24"/>
        </w:rPr>
      </w:pPr>
      <w:r>
        <w:rPr>
          <w:rFonts w:cstheme="minorHAnsi"/>
          <w:szCs w:val="24"/>
        </w:rPr>
        <w:t>Informações sobre vinculação com as iniciativas estratégicas.</w:t>
      </w:r>
    </w:p>
    <w:p w:rsidR="00786278" w:rsidRDefault="00786278" w:rsidP="00786278">
      <w:pPr>
        <w:spacing w:before="0" w:after="0"/>
        <w:contextualSpacing/>
        <w:jc w:val="left"/>
        <w:rPr>
          <w:rFonts w:cstheme="minorHAnsi"/>
          <w:szCs w:val="24"/>
        </w:rPr>
      </w:pPr>
      <w:r w:rsidRPr="00786278">
        <w:rPr>
          <w:rFonts w:cstheme="minorHAnsi"/>
          <w:szCs w:val="24"/>
        </w:rPr>
        <w:t>[FINALIZAR_LISTA_MARCADORES]</w:t>
      </w:r>
    </w:p>
    <w:p w:rsidR="00786278" w:rsidRDefault="00786278" w:rsidP="00786278">
      <w:pPr>
        <w:contextualSpacing/>
        <w:rPr>
          <w:rFonts w:cstheme="minorHAnsi"/>
          <w:szCs w:val="24"/>
        </w:rPr>
      </w:pPr>
      <w:r w:rsidRPr="00652D09">
        <w:rPr>
          <w:rFonts w:cstheme="minorHAnsi"/>
          <w:szCs w:val="24"/>
        </w:rPr>
        <w:t xml:space="preserve">A referida proposta, após aprovação do Órgão Especial, foi encaminhada pelo Exmo. Senhor Presidente, Desembargador Luiz Carlos de Azevedo Corrêa Junior, ao Poder </w:t>
      </w:r>
      <w:r w:rsidRPr="0015707F">
        <w:rPr>
          <w:rFonts w:cstheme="minorHAnsi"/>
          <w:szCs w:val="24"/>
        </w:rPr>
        <w:t xml:space="preserve">Executivo, </w:t>
      </w:r>
      <w:r>
        <w:rPr>
          <w:rFonts w:cstheme="minorHAnsi"/>
          <w:szCs w:val="24"/>
        </w:rPr>
        <w:t>no início de</w:t>
      </w:r>
      <w:r w:rsidRPr="0015707F">
        <w:rPr>
          <w:rFonts w:cstheme="minorHAnsi"/>
          <w:szCs w:val="24"/>
        </w:rPr>
        <w:t xml:space="preserve"> setembro de 2024, tendo sido</w:t>
      </w:r>
      <w:r w:rsidRPr="00652D09">
        <w:rPr>
          <w:rFonts w:cstheme="minorHAnsi"/>
          <w:szCs w:val="24"/>
        </w:rPr>
        <w:t xml:space="preserve"> devidamente registrada no Sistema de Informações Gerenciais e de Planejamento – </w:t>
      </w:r>
      <w:proofErr w:type="spellStart"/>
      <w:r w:rsidRPr="00652D09">
        <w:rPr>
          <w:rFonts w:cstheme="minorHAnsi"/>
          <w:szCs w:val="24"/>
        </w:rPr>
        <w:t>SIGPlan</w:t>
      </w:r>
      <w:proofErr w:type="spellEnd"/>
      <w:r w:rsidRPr="00652D09">
        <w:rPr>
          <w:rFonts w:cstheme="minorHAnsi"/>
          <w:szCs w:val="24"/>
        </w:rPr>
        <w:t xml:space="preserve"> e no Sistema Orçamentário – SISOR, que compõem o Portal de Planejamento e Orçamento do Estado de Minas Gerais.</w:t>
      </w:r>
    </w:p>
    <w:p w:rsidR="00786278" w:rsidRPr="00786278" w:rsidRDefault="00786278" w:rsidP="00786278">
      <w:pPr>
        <w:contextualSpacing/>
        <w:rPr>
          <w:rFonts w:cstheme="minorHAnsi"/>
          <w:szCs w:val="24"/>
        </w:rPr>
      </w:pPr>
      <w:r w:rsidRPr="00786278">
        <w:rPr>
          <w:rFonts w:cstheme="minorHAnsi"/>
          <w:szCs w:val="24"/>
        </w:rPr>
        <w:t>3.6</w:t>
      </w:r>
      <w:r w:rsidRPr="00786278">
        <w:rPr>
          <w:rFonts w:cstheme="minorHAnsi"/>
          <w:szCs w:val="24"/>
        </w:rPr>
        <w:tab/>
        <w:t>Planejamento Estratégico 2021-2026</w:t>
      </w:r>
    </w:p>
    <w:p w:rsidR="00786278" w:rsidRDefault="00786278" w:rsidP="00786278">
      <w:pPr>
        <w:contextualSpacing/>
        <w:rPr>
          <w:rFonts w:cstheme="minorHAnsi"/>
          <w:szCs w:val="24"/>
        </w:rPr>
      </w:pPr>
      <w:r w:rsidRPr="00786278">
        <w:rPr>
          <w:rFonts w:cstheme="minorHAnsi"/>
          <w:szCs w:val="24"/>
        </w:rPr>
        <w:t xml:space="preserve">O Conselho Nacional de Justiça aprovou a Estratégia Nacional do Poder Judiciário para o </w:t>
      </w:r>
      <w:proofErr w:type="spellStart"/>
      <w:r w:rsidRPr="00786278">
        <w:rPr>
          <w:rFonts w:cstheme="minorHAnsi"/>
          <w:szCs w:val="24"/>
        </w:rPr>
        <w:t>sexênio</w:t>
      </w:r>
      <w:proofErr w:type="spellEnd"/>
      <w:r w:rsidRPr="00786278">
        <w:rPr>
          <w:rFonts w:cstheme="minorHAnsi"/>
          <w:szCs w:val="24"/>
        </w:rPr>
        <w:t xml:space="preserve"> 2021/2026, por meio da Resolução nº 325 de 29 de junho de 2020. Em conformidade com a Estratégia Nacional do Poder Judiciário, o TJMG instituiu a Resolução n° 952, 27 de novembro de 2020, dispondo sobre o Planejamento e a Gestão </w:t>
      </w:r>
      <w:r w:rsidRPr="00786278">
        <w:rPr>
          <w:rFonts w:cstheme="minorHAnsi"/>
          <w:szCs w:val="24"/>
        </w:rPr>
        <w:lastRenderedPageBreak/>
        <w:t>Estratégica, no âmbito do Tribunal de Justiça do Estado de Minas Gerais, para os anos de 2021 a 2026 e apontando os componentes do Planejamento do TJMG, como:</w:t>
      </w:r>
    </w:p>
    <w:p w:rsidR="00786278" w:rsidRPr="00786278" w:rsidRDefault="00786278" w:rsidP="00786278">
      <w:pPr>
        <w:spacing w:before="0" w:after="0"/>
        <w:contextualSpacing/>
        <w:jc w:val="left"/>
        <w:rPr>
          <w:rFonts w:cstheme="minorHAnsi"/>
          <w:szCs w:val="24"/>
        </w:rPr>
      </w:pPr>
      <w:r w:rsidRPr="00786278">
        <w:rPr>
          <w:rFonts w:cstheme="minorHAnsi"/>
          <w:szCs w:val="24"/>
        </w:rPr>
        <w:t>[INICIAR_LISTA_MARCADORES]</w:t>
      </w:r>
    </w:p>
    <w:p w:rsidR="00786278" w:rsidRPr="00D60D1F" w:rsidRDefault="00786278" w:rsidP="00786278">
      <w:pPr>
        <w:numPr>
          <w:ilvl w:val="0"/>
          <w:numId w:val="9"/>
        </w:numPr>
        <w:autoSpaceDE w:val="0"/>
        <w:autoSpaceDN w:val="0"/>
        <w:adjustRightInd w:val="0"/>
        <w:spacing w:before="0" w:after="0"/>
        <w:rPr>
          <w:rFonts w:cstheme="minorHAnsi"/>
          <w:szCs w:val="24"/>
        </w:rPr>
      </w:pPr>
      <w:r w:rsidRPr="00D60D1F">
        <w:rPr>
          <w:rFonts w:cstheme="minorHAnsi"/>
          <w:b/>
          <w:bCs/>
          <w:szCs w:val="24"/>
        </w:rPr>
        <w:t xml:space="preserve">Identidade Organizacional: </w:t>
      </w:r>
      <w:r w:rsidRPr="00D60D1F">
        <w:rPr>
          <w:rFonts w:cstheme="minorHAnsi"/>
          <w:szCs w:val="24"/>
        </w:rPr>
        <w:t>que define a missão, visão e valores deste Tribunal;</w:t>
      </w:r>
    </w:p>
    <w:p w:rsidR="00786278" w:rsidRPr="00D60D1F" w:rsidRDefault="00786278" w:rsidP="00786278">
      <w:pPr>
        <w:numPr>
          <w:ilvl w:val="0"/>
          <w:numId w:val="9"/>
        </w:numPr>
        <w:autoSpaceDE w:val="0"/>
        <w:autoSpaceDN w:val="0"/>
        <w:adjustRightInd w:val="0"/>
        <w:spacing w:before="0" w:after="0"/>
        <w:rPr>
          <w:rFonts w:cstheme="minorHAnsi"/>
          <w:szCs w:val="24"/>
        </w:rPr>
      </w:pPr>
      <w:r w:rsidRPr="00D60D1F">
        <w:rPr>
          <w:rFonts w:cstheme="minorHAnsi"/>
          <w:b/>
          <w:bCs/>
          <w:szCs w:val="24"/>
        </w:rPr>
        <w:t xml:space="preserve">Mapa Estratégico: </w:t>
      </w:r>
      <w:r w:rsidRPr="00D60D1F">
        <w:rPr>
          <w:rFonts w:cstheme="minorHAnsi"/>
          <w:szCs w:val="24"/>
        </w:rPr>
        <w:t xml:space="preserve">que traduz a identidade organizacional em um conjunto de </w:t>
      </w:r>
      <w:proofErr w:type="spellStart"/>
      <w:r>
        <w:rPr>
          <w:rFonts w:cstheme="minorHAnsi"/>
          <w:szCs w:val="24"/>
        </w:rPr>
        <w:t>Macrodesafios</w:t>
      </w:r>
      <w:proofErr w:type="spellEnd"/>
      <w:r w:rsidRPr="00D60D1F">
        <w:rPr>
          <w:rFonts w:cstheme="minorHAnsi"/>
          <w:szCs w:val="24"/>
        </w:rPr>
        <w:t xml:space="preserve"> que direcionam o comportamento e o desempenho institucionais;</w:t>
      </w:r>
    </w:p>
    <w:p w:rsidR="00786278" w:rsidRPr="00D60D1F" w:rsidRDefault="00786278" w:rsidP="00786278">
      <w:pPr>
        <w:numPr>
          <w:ilvl w:val="0"/>
          <w:numId w:val="9"/>
        </w:numPr>
        <w:autoSpaceDE w:val="0"/>
        <w:autoSpaceDN w:val="0"/>
        <w:adjustRightInd w:val="0"/>
        <w:spacing w:before="0" w:after="0"/>
        <w:rPr>
          <w:rFonts w:cstheme="minorHAnsi"/>
          <w:szCs w:val="24"/>
        </w:rPr>
      </w:pPr>
      <w:r w:rsidRPr="00D60D1F">
        <w:rPr>
          <w:rFonts w:cstheme="minorHAnsi"/>
          <w:b/>
          <w:bCs/>
          <w:szCs w:val="24"/>
        </w:rPr>
        <w:t xml:space="preserve">Painel Estratégico: </w:t>
      </w:r>
      <w:r w:rsidRPr="00D60D1F">
        <w:rPr>
          <w:rFonts w:cstheme="minorHAnsi"/>
          <w:szCs w:val="24"/>
        </w:rPr>
        <w:t>que deve conter os indicadores institucionais, as metas nacionais, as metas institucionais e, no que couber, os indicadores nacionais;</w:t>
      </w:r>
    </w:p>
    <w:p w:rsidR="00786278" w:rsidRPr="00D60D1F" w:rsidRDefault="00786278" w:rsidP="00786278">
      <w:pPr>
        <w:numPr>
          <w:ilvl w:val="0"/>
          <w:numId w:val="9"/>
        </w:numPr>
        <w:autoSpaceDE w:val="0"/>
        <w:autoSpaceDN w:val="0"/>
        <w:adjustRightInd w:val="0"/>
        <w:spacing w:before="0" w:after="0"/>
        <w:rPr>
          <w:rFonts w:cstheme="minorHAnsi"/>
          <w:szCs w:val="24"/>
        </w:rPr>
      </w:pPr>
      <w:r w:rsidRPr="00D60D1F">
        <w:rPr>
          <w:rFonts w:cstheme="minorHAnsi"/>
          <w:b/>
          <w:bCs/>
          <w:szCs w:val="24"/>
        </w:rPr>
        <w:t xml:space="preserve">Quadro de Iniciativas: </w:t>
      </w:r>
      <w:r w:rsidRPr="00D60D1F">
        <w:rPr>
          <w:rFonts w:cstheme="minorHAnsi"/>
          <w:szCs w:val="24"/>
        </w:rPr>
        <w:t>que explicita os programas, projetos e ações estratégicos para a Instituição, visto a contribuição para o alcance as metas estabelecidas.</w:t>
      </w:r>
    </w:p>
    <w:p w:rsidR="00786278" w:rsidRPr="00786278" w:rsidRDefault="00786278" w:rsidP="00786278">
      <w:pPr>
        <w:spacing w:before="0" w:after="0"/>
        <w:jc w:val="left"/>
        <w:rPr>
          <w:rFonts w:cstheme="minorHAnsi"/>
          <w:szCs w:val="24"/>
        </w:rPr>
      </w:pPr>
      <w:r w:rsidRPr="00786278">
        <w:rPr>
          <w:rFonts w:cstheme="minorHAnsi"/>
          <w:szCs w:val="24"/>
        </w:rPr>
        <w:t>[FINALIZAR_LISTA_MARCADORES]</w:t>
      </w:r>
    </w:p>
    <w:p w:rsidR="00786278" w:rsidRDefault="00786278" w:rsidP="00786278">
      <w:pPr>
        <w:autoSpaceDE w:val="0"/>
        <w:autoSpaceDN w:val="0"/>
        <w:adjustRightInd w:val="0"/>
        <w:spacing w:after="0"/>
        <w:rPr>
          <w:rFonts w:cstheme="minorHAnsi"/>
          <w:bCs/>
          <w:szCs w:val="24"/>
        </w:rPr>
      </w:pPr>
      <w:r w:rsidRPr="00D60D1F">
        <w:rPr>
          <w:rFonts w:cstheme="minorHAnsi"/>
          <w:szCs w:val="24"/>
        </w:rPr>
        <w:t>No Planejamento Estratégico de 202</w:t>
      </w:r>
      <w:r>
        <w:rPr>
          <w:rFonts w:cstheme="minorHAnsi"/>
          <w:szCs w:val="24"/>
        </w:rPr>
        <w:t>4</w:t>
      </w:r>
      <w:r w:rsidRPr="00D60D1F">
        <w:rPr>
          <w:rFonts w:cstheme="minorHAnsi"/>
          <w:szCs w:val="24"/>
        </w:rPr>
        <w:t>, as</w:t>
      </w:r>
      <w:r w:rsidRPr="00D60D1F">
        <w:rPr>
          <w:rFonts w:cstheme="minorHAnsi"/>
          <w:bCs/>
          <w:szCs w:val="24"/>
        </w:rPr>
        <w:t xml:space="preserve"> iniciativas e metas, aprovadas pelo Comitê de Governança e Gestão Estratégica</w:t>
      </w:r>
      <w:r w:rsidRPr="00D60D1F" w:rsidDel="00EA7DE6">
        <w:rPr>
          <w:rFonts w:cstheme="minorHAnsi"/>
          <w:bCs/>
          <w:szCs w:val="24"/>
        </w:rPr>
        <w:t xml:space="preserve"> </w:t>
      </w:r>
      <w:r w:rsidRPr="00D60D1F">
        <w:rPr>
          <w:rFonts w:cstheme="minorHAnsi"/>
          <w:bCs/>
          <w:szCs w:val="24"/>
        </w:rPr>
        <w:t xml:space="preserve">visando à superação dos </w:t>
      </w:r>
      <w:proofErr w:type="spellStart"/>
      <w:r>
        <w:rPr>
          <w:rFonts w:cstheme="minorHAnsi"/>
          <w:bCs/>
          <w:szCs w:val="24"/>
        </w:rPr>
        <w:t>Macrodesafios</w:t>
      </w:r>
      <w:proofErr w:type="spellEnd"/>
      <w:r w:rsidRPr="00D60D1F">
        <w:rPr>
          <w:rFonts w:cstheme="minorHAnsi"/>
          <w:bCs/>
          <w:szCs w:val="24"/>
        </w:rPr>
        <w:t xml:space="preserve"> constantes no Mapa Estratégico, foram disciplinadas na </w:t>
      </w:r>
      <w:r>
        <w:rPr>
          <w:rFonts w:cstheme="minorHAnsi"/>
          <w:bCs/>
          <w:szCs w:val="24"/>
        </w:rPr>
        <w:t xml:space="preserve">Portaria Conjunta 1.550/PR/2024 alterada pela </w:t>
      </w:r>
      <w:r w:rsidRPr="00D60D1F">
        <w:rPr>
          <w:rFonts w:cstheme="minorHAnsi"/>
          <w:bCs/>
          <w:szCs w:val="24"/>
        </w:rPr>
        <w:t>Portaria Conjunta 1.</w:t>
      </w:r>
      <w:r>
        <w:rPr>
          <w:rFonts w:cstheme="minorHAnsi"/>
          <w:bCs/>
          <w:szCs w:val="24"/>
        </w:rPr>
        <w:t>624</w:t>
      </w:r>
      <w:r w:rsidRPr="00D60D1F">
        <w:rPr>
          <w:rFonts w:cstheme="minorHAnsi"/>
          <w:bCs/>
          <w:szCs w:val="24"/>
        </w:rPr>
        <w:t>/PR/202</w:t>
      </w:r>
      <w:r>
        <w:rPr>
          <w:rFonts w:cstheme="minorHAnsi"/>
          <w:bCs/>
          <w:szCs w:val="24"/>
        </w:rPr>
        <w:t>4</w:t>
      </w:r>
      <w:r w:rsidRPr="00D60D1F">
        <w:rPr>
          <w:rFonts w:cstheme="minorHAnsi"/>
          <w:bCs/>
          <w:szCs w:val="24"/>
        </w:rPr>
        <w:t>, consolidando:</w:t>
      </w:r>
    </w:p>
    <w:p w:rsidR="00786278" w:rsidRPr="00D60D1F" w:rsidRDefault="00786278" w:rsidP="00786278">
      <w:pPr>
        <w:autoSpaceDE w:val="0"/>
        <w:autoSpaceDN w:val="0"/>
        <w:adjustRightInd w:val="0"/>
        <w:spacing w:after="0"/>
        <w:jc w:val="left"/>
        <w:rPr>
          <w:rFonts w:cstheme="minorHAnsi"/>
          <w:bCs/>
          <w:sz w:val="16"/>
          <w:szCs w:val="16"/>
        </w:rPr>
      </w:pPr>
      <w:r>
        <w:rPr>
          <w:sz w:val="16"/>
          <w:szCs w:val="16"/>
        </w:rPr>
        <w:fldChar w:fldCharType="begin"/>
      </w:r>
      <w:r>
        <w:rPr>
          <w:sz w:val="16"/>
          <w:szCs w:val="16"/>
        </w:rPr>
        <w:instrText xml:space="preserve"> TC  “</w:instrText>
      </w:r>
      <w:bookmarkStart w:id="13" w:name="_Toc189119796"/>
      <w:r w:rsidRPr="00D60D1F">
        <w:rPr>
          <w:rFonts w:cstheme="minorHAnsi"/>
          <w:bCs/>
          <w:sz w:val="16"/>
          <w:szCs w:val="16"/>
        </w:rPr>
        <w:instrText xml:space="preserve">Figura </w:instrText>
      </w:r>
      <w:r>
        <w:rPr>
          <w:rFonts w:cstheme="minorHAnsi"/>
          <w:bCs/>
          <w:sz w:val="16"/>
          <w:szCs w:val="16"/>
        </w:rPr>
        <w:instrText>10 -</w:instrText>
      </w:r>
      <w:r w:rsidRPr="00D60D1F">
        <w:rPr>
          <w:rFonts w:cstheme="minorHAnsi"/>
          <w:bCs/>
          <w:sz w:val="16"/>
          <w:szCs w:val="16"/>
        </w:rPr>
        <w:instrText xml:space="preserve"> Esquema do Plano Estratégico 202</w:instrText>
      </w:r>
      <w:r>
        <w:rPr>
          <w:rFonts w:cstheme="minorHAnsi"/>
          <w:bCs/>
          <w:sz w:val="16"/>
          <w:szCs w:val="16"/>
        </w:rPr>
        <w:instrText>4</w:instrText>
      </w:r>
      <w:bookmarkEnd w:id="13"/>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sidRPr="00D60D1F">
        <w:rPr>
          <w:rFonts w:cstheme="minorHAnsi"/>
          <w:bCs/>
          <w:sz w:val="16"/>
          <w:szCs w:val="16"/>
        </w:rPr>
        <w:t xml:space="preserve">Figura </w:t>
      </w:r>
      <w:r>
        <w:rPr>
          <w:rFonts w:cstheme="minorHAnsi"/>
          <w:bCs/>
          <w:sz w:val="16"/>
          <w:szCs w:val="16"/>
        </w:rPr>
        <w:t>10 -</w:t>
      </w:r>
      <w:r w:rsidRPr="00D60D1F">
        <w:rPr>
          <w:rFonts w:cstheme="minorHAnsi"/>
          <w:bCs/>
          <w:sz w:val="16"/>
          <w:szCs w:val="16"/>
        </w:rPr>
        <w:t xml:space="preserve"> Esquema do Plano Estratégico 202</w:t>
      </w:r>
      <w:r>
        <w:rPr>
          <w:rFonts w:cstheme="minorHAnsi"/>
          <w:bCs/>
          <w:sz w:val="16"/>
          <w:szCs w:val="16"/>
        </w:rPr>
        <w:t>4</w:t>
      </w:r>
      <w:r w:rsidRPr="00D60D1F">
        <w:rPr>
          <w:rFonts w:cstheme="minorHAnsi"/>
          <w:bCs/>
          <w:sz w:val="16"/>
          <w:szCs w:val="16"/>
        </w:rPr>
        <w:t>.</w:t>
      </w:r>
    </w:p>
    <w:p w:rsidR="00786278" w:rsidRDefault="00786278" w:rsidP="00786278">
      <w:pPr>
        <w:spacing w:before="0" w:after="0"/>
        <w:rPr>
          <w:rFonts w:cstheme="minorHAnsi"/>
          <w:szCs w:val="24"/>
        </w:rPr>
      </w:pPr>
    </w:p>
    <w:p w:rsidR="00786278" w:rsidRPr="00D60D1F" w:rsidRDefault="00786278" w:rsidP="00786278">
      <w:pPr>
        <w:spacing w:before="0" w:after="0"/>
        <w:rPr>
          <w:rFonts w:cstheme="minorHAnsi"/>
          <w:szCs w:val="24"/>
        </w:rPr>
      </w:pPr>
      <w:r w:rsidRPr="00D60D1F">
        <w:rPr>
          <w:rFonts w:cstheme="minorHAnsi"/>
          <w:szCs w:val="24"/>
        </w:rPr>
        <w:t>O Plano Estratégico do TJMG para 202</w:t>
      </w:r>
      <w:r>
        <w:rPr>
          <w:rFonts w:cstheme="minorHAnsi"/>
          <w:szCs w:val="24"/>
        </w:rPr>
        <w:t>4</w:t>
      </w:r>
      <w:r w:rsidRPr="00D60D1F">
        <w:rPr>
          <w:rFonts w:cstheme="minorHAnsi"/>
          <w:szCs w:val="24"/>
        </w:rPr>
        <w:t xml:space="preserve"> pode ser acessado no link:</w:t>
      </w:r>
    </w:p>
    <w:p w:rsidR="00786278" w:rsidRPr="004D1508" w:rsidRDefault="00786278" w:rsidP="00786278">
      <w:pPr>
        <w:spacing w:before="0" w:after="0" w:line="240" w:lineRule="auto"/>
        <w:jc w:val="left"/>
        <w:rPr>
          <w:rFonts w:cstheme="minorHAnsi"/>
          <w:sz w:val="20"/>
          <w:szCs w:val="20"/>
        </w:rPr>
      </w:pPr>
      <w:r w:rsidRPr="004D1508">
        <w:rPr>
          <w:rFonts w:cstheme="minorHAnsi"/>
          <w:sz w:val="20"/>
          <w:szCs w:val="20"/>
        </w:rPr>
        <w:t>https://www.tjmg.jus.br/portal-tjmg/transparencia/planejamento-estrategico/plano-estrategico-2024.htm</w:t>
      </w:r>
    </w:p>
    <w:p w:rsidR="00786278" w:rsidRDefault="00786278" w:rsidP="00786278">
      <w:pPr>
        <w:spacing w:before="0" w:after="0" w:line="240" w:lineRule="auto"/>
        <w:jc w:val="left"/>
        <w:rPr>
          <w:rFonts w:cstheme="minorHAnsi"/>
          <w:b/>
          <w:bCs/>
          <w:color w:val="000099"/>
          <w:szCs w:val="24"/>
        </w:rPr>
      </w:pPr>
    </w:p>
    <w:p w:rsidR="00786278" w:rsidRPr="00786278" w:rsidRDefault="00786278" w:rsidP="00786278">
      <w:pPr>
        <w:spacing w:before="0" w:after="0"/>
        <w:contextualSpacing/>
        <w:jc w:val="left"/>
        <w:rPr>
          <w:rFonts w:cstheme="minorHAnsi"/>
          <w:szCs w:val="24"/>
        </w:rPr>
      </w:pPr>
      <w:r w:rsidRPr="00786278">
        <w:rPr>
          <w:rFonts w:cstheme="minorHAnsi"/>
          <w:szCs w:val="24"/>
        </w:rPr>
        <w:t>3.6.1</w:t>
      </w:r>
      <w:r w:rsidRPr="00786278">
        <w:rPr>
          <w:rFonts w:cstheme="minorHAnsi"/>
          <w:szCs w:val="24"/>
        </w:rPr>
        <w:tab/>
        <w:t>Identidade Organizacional</w:t>
      </w:r>
    </w:p>
    <w:p w:rsidR="00786278" w:rsidRDefault="00786278" w:rsidP="00786278">
      <w:pPr>
        <w:spacing w:before="0" w:after="0"/>
        <w:contextualSpacing/>
        <w:jc w:val="left"/>
        <w:rPr>
          <w:rFonts w:cstheme="minorHAnsi"/>
          <w:szCs w:val="24"/>
        </w:rPr>
      </w:pPr>
      <w:r w:rsidRPr="00786278">
        <w:rPr>
          <w:rFonts w:cstheme="minorHAnsi"/>
          <w:szCs w:val="24"/>
        </w:rPr>
        <w:t>Ao estabelecer o Planejamento Estratégico para o período 2021/2026, o Tribunal adotou sua identidade organizacional como forma de nortear a atuação institucional e de garantir a efetiva prestação jurisdicional, possibilitando que seus magistrados, servidores, colaboradores e cidadãos saibam quais são, respectivamente, o propósito e a razão de existência do TJMG, o futuro desejado e os princípios que norteiam o comportamento e as ações da Instituição.</w:t>
      </w:r>
    </w:p>
    <w:p w:rsidR="00786278" w:rsidRPr="0021683B" w:rsidRDefault="00786278" w:rsidP="00786278">
      <w:pPr>
        <w:autoSpaceDE w:val="0"/>
        <w:autoSpaceDN w:val="0"/>
        <w:adjustRightInd w:val="0"/>
        <w:spacing w:after="0"/>
        <w:jc w:val="left"/>
        <w:rPr>
          <w:sz w:val="16"/>
          <w:szCs w:val="16"/>
        </w:rPr>
      </w:pPr>
      <w:r>
        <w:rPr>
          <w:sz w:val="16"/>
          <w:szCs w:val="16"/>
        </w:rPr>
        <w:fldChar w:fldCharType="begin"/>
      </w:r>
      <w:r>
        <w:rPr>
          <w:sz w:val="16"/>
          <w:szCs w:val="16"/>
        </w:rPr>
        <w:instrText xml:space="preserve"> TC  “</w:instrText>
      </w:r>
      <w:bookmarkStart w:id="14" w:name="_Toc189119797"/>
      <w:r w:rsidRPr="0021683B">
        <w:rPr>
          <w:sz w:val="16"/>
          <w:szCs w:val="16"/>
        </w:rPr>
        <w:instrText xml:space="preserve">Figura </w:instrText>
      </w:r>
      <w:r>
        <w:rPr>
          <w:sz w:val="16"/>
          <w:szCs w:val="16"/>
        </w:rPr>
        <w:instrText>11 -</w:instrText>
      </w:r>
      <w:r w:rsidRPr="0021683B">
        <w:rPr>
          <w:sz w:val="16"/>
          <w:szCs w:val="16"/>
        </w:rPr>
        <w:instrText xml:space="preserve"> Identidade organizacional do TJMG/DIRCOM</w:instrText>
      </w:r>
      <w:bookmarkEnd w:id="14"/>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sidRPr="0021683B">
        <w:rPr>
          <w:sz w:val="16"/>
          <w:szCs w:val="16"/>
        </w:rPr>
        <w:t xml:space="preserve">Figura </w:t>
      </w:r>
      <w:r>
        <w:rPr>
          <w:sz w:val="16"/>
          <w:szCs w:val="16"/>
        </w:rPr>
        <w:t>11 -</w:t>
      </w:r>
      <w:r w:rsidRPr="0021683B">
        <w:rPr>
          <w:sz w:val="16"/>
          <w:szCs w:val="16"/>
        </w:rPr>
        <w:t xml:space="preserve"> Identidade organizacional do TJMG/DIRCOM</w:t>
      </w:r>
    </w:p>
    <w:p w:rsidR="00786278" w:rsidRDefault="00786278" w:rsidP="00786278">
      <w:pPr>
        <w:spacing w:before="0" w:after="0"/>
        <w:contextualSpacing/>
        <w:jc w:val="left"/>
        <w:rPr>
          <w:rFonts w:cstheme="minorHAnsi"/>
          <w:szCs w:val="24"/>
        </w:rPr>
      </w:pPr>
    </w:p>
    <w:p w:rsidR="00786278" w:rsidRPr="00786278" w:rsidRDefault="00786278" w:rsidP="00786278">
      <w:pPr>
        <w:rPr>
          <w:rFonts w:cstheme="minorHAnsi"/>
          <w:szCs w:val="24"/>
        </w:rPr>
      </w:pPr>
      <w:r w:rsidRPr="00786278">
        <w:rPr>
          <w:rFonts w:cstheme="minorHAnsi"/>
          <w:szCs w:val="24"/>
        </w:rPr>
        <w:t>3.6.2</w:t>
      </w:r>
      <w:r w:rsidRPr="00786278">
        <w:rPr>
          <w:rFonts w:cstheme="minorHAnsi"/>
          <w:szCs w:val="24"/>
        </w:rPr>
        <w:tab/>
        <w:t>Mapa Estratégico</w:t>
      </w:r>
    </w:p>
    <w:p w:rsidR="00786278" w:rsidRPr="00786278" w:rsidRDefault="00786278" w:rsidP="00786278">
      <w:pPr>
        <w:rPr>
          <w:rFonts w:cstheme="minorHAnsi"/>
          <w:szCs w:val="24"/>
        </w:rPr>
      </w:pPr>
      <w:r w:rsidRPr="00786278">
        <w:rPr>
          <w:rFonts w:cstheme="minorHAnsi"/>
          <w:szCs w:val="24"/>
        </w:rPr>
        <w:lastRenderedPageBreak/>
        <w:t xml:space="preserve">O TJMG utilizou a metodologia do </w:t>
      </w:r>
      <w:proofErr w:type="spellStart"/>
      <w:r w:rsidRPr="00786278">
        <w:rPr>
          <w:rFonts w:cstheme="minorHAnsi"/>
          <w:szCs w:val="24"/>
        </w:rPr>
        <w:t>Balanced</w:t>
      </w:r>
      <w:proofErr w:type="spellEnd"/>
      <w:r w:rsidRPr="00786278">
        <w:rPr>
          <w:rFonts w:cstheme="minorHAnsi"/>
          <w:szCs w:val="24"/>
        </w:rPr>
        <w:t xml:space="preserve"> Scorecard - </w:t>
      </w:r>
      <w:proofErr w:type="gramStart"/>
      <w:r w:rsidRPr="00786278">
        <w:rPr>
          <w:rFonts w:cstheme="minorHAnsi"/>
          <w:szCs w:val="24"/>
        </w:rPr>
        <w:t>BSC  para</w:t>
      </w:r>
      <w:proofErr w:type="gramEnd"/>
      <w:r w:rsidRPr="00786278">
        <w:rPr>
          <w:rFonts w:cstheme="minorHAnsi"/>
          <w:szCs w:val="24"/>
        </w:rPr>
        <w:t xml:space="preserve"> traduzir a missão e a estratégia da instituição em objetivos e iniciativas, organizados segundo diferentes perspectivas, consolidadas na figura gráfica do Mapa Estratégico.</w:t>
      </w:r>
    </w:p>
    <w:p w:rsidR="00786278" w:rsidRDefault="00786278" w:rsidP="00786278">
      <w:r w:rsidRPr="00786278">
        <w:rPr>
          <w:rFonts w:cstheme="minorHAnsi"/>
          <w:szCs w:val="24"/>
        </w:rPr>
        <w:t xml:space="preserve">Esses “pontos de vista” representam os fatores chave para uma visão ampliada da organização. Cada perspectiva engloba um conjunto de objetivos estratégicos ou </w:t>
      </w:r>
      <w:proofErr w:type="spellStart"/>
      <w:r w:rsidRPr="00786278">
        <w:rPr>
          <w:rFonts w:cstheme="minorHAnsi"/>
          <w:szCs w:val="24"/>
        </w:rPr>
        <w:t>Macrodesafios</w:t>
      </w:r>
      <w:proofErr w:type="spellEnd"/>
      <w:r w:rsidRPr="00786278">
        <w:rPr>
          <w:rFonts w:cstheme="minorHAnsi"/>
          <w:szCs w:val="24"/>
        </w:rPr>
        <w:t xml:space="preserve"> que representam os principais desafios da organização.</w:t>
      </w:r>
    </w:p>
    <w:p w:rsidR="00786278" w:rsidRDefault="00786278" w:rsidP="00437F91"/>
    <w:p w:rsidR="00786278" w:rsidRDefault="00786278" w:rsidP="00437F91">
      <w:pPr>
        <w:rPr>
          <w:rStyle w:val="Ttulo7Char"/>
          <w:rFonts w:cstheme="minorHAnsi"/>
          <w:sz w:val="16"/>
          <w:szCs w:val="16"/>
          <w:bdr w:val="none" w:sz="0" w:space="0" w:color="auto" w:frame="1"/>
        </w:rPr>
      </w:pPr>
      <w:r w:rsidRPr="00CF1CF8">
        <w:rPr>
          <w:rStyle w:val="Hyperlink"/>
        </w:rPr>
        <w:footnoteRef/>
      </w:r>
      <w:r w:rsidRPr="00CF1CF8">
        <w:t xml:space="preserve"> </w:t>
      </w:r>
      <w:r w:rsidRPr="00CF1CF8">
        <w:rPr>
          <w:rFonts w:cstheme="minorHAnsi"/>
          <w:sz w:val="16"/>
          <w:szCs w:val="16"/>
        </w:rPr>
        <w:t xml:space="preserve">O </w:t>
      </w:r>
      <w:proofErr w:type="spellStart"/>
      <w:r w:rsidRPr="00CF1CF8">
        <w:rPr>
          <w:rFonts w:cstheme="minorHAnsi"/>
          <w:i/>
          <w:sz w:val="16"/>
          <w:szCs w:val="16"/>
        </w:rPr>
        <w:t>Balanced</w:t>
      </w:r>
      <w:proofErr w:type="spellEnd"/>
      <w:r w:rsidRPr="00CF1CF8">
        <w:rPr>
          <w:rFonts w:cstheme="minorHAnsi"/>
          <w:i/>
          <w:sz w:val="16"/>
          <w:szCs w:val="16"/>
        </w:rPr>
        <w:t xml:space="preserve"> Scorecard</w:t>
      </w:r>
      <w:r w:rsidRPr="00CF1CF8">
        <w:rPr>
          <w:rFonts w:cstheme="minorHAnsi"/>
          <w:sz w:val="16"/>
          <w:szCs w:val="16"/>
        </w:rPr>
        <w:t xml:space="preserve"> (BSC) é uma metodologia de gestão criada, em 1992, pelos professores Robert Kaplan e David Norton, da Harvard </w:t>
      </w:r>
      <w:r w:rsidRPr="00CF1CF8">
        <w:rPr>
          <w:rFonts w:cstheme="minorHAnsi"/>
          <w:i/>
          <w:iCs/>
          <w:sz w:val="16"/>
          <w:szCs w:val="16"/>
        </w:rPr>
        <w:t xml:space="preserve">Business </w:t>
      </w:r>
      <w:proofErr w:type="spellStart"/>
      <w:r w:rsidRPr="00CF1CF8">
        <w:rPr>
          <w:rFonts w:cstheme="minorHAnsi"/>
          <w:i/>
          <w:iCs/>
          <w:sz w:val="16"/>
          <w:szCs w:val="16"/>
        </w:rPr>
        <w:t>School</w:t>
      </w:r>
      <w:proofErr w:type="spellEnd"/>
      <w:r w:rsidRPr="00CF1CF8">
        <w:rPr>
          <w:rFonts w:cstheme="minorHAnsi"/>
          <w:sz w:val="16"/>
          <w:szCs w:val="16"/>
        </w:rPr>
        <w:t>, que em pouco tempo, ganhou adeptos no mundo todo e hoje é uma das principais metodologias de da</w:t>
      </w:r>
      <w:r>
        <w:rPr>
          <w:rFonts w:cstheme="minorHAnsi"/>
          <w:sz w:val="16"/>
          <w:szCs w:val="16"/>
        </w:rPr>
        <w:t xml:space="preserve"> </w:t>
      </w:r>
      <w:r w:rsidRPr="00CF1CF8">
        <w:rPr>
          <w:rFonts w:cstheme="minorHAnsi"/>
          <w:sz w:val="16"/>
          <w:szCs w:val="16"/>
          <w:bdr w:val="none" w:sz="0" w:space="0" w:color="auto" w:frame="1"/>
        </w:rPr>
        <w:t xml:space="preserve">gestão empresarial. </w:t>
      </w:r>
      <w:r w:rsidRPr="00CF1CF8">
        <w:rPr>
          <w:rFonts w:cstheme="minorHAnsi"/>
          <w:sz w:val="16"/>
          <w:szCs w:val="16"/>
        </w:rPr>
        <w:t>A ideia central do BSC é</w:t>
      </w:r>
      <w:r>
        <w:rPr>
          <w:rFonts w:cstheme="minorHAnsi"/>
          <w:b/>
          <w:sz w:val="16"/>
          <w:szCs w:val="16"/>
        </w:rPr>
        <w:t xml:space="preserve"> </w:t>
      </w:r>
      <w:r w:rsidRPr="00CF1CF8">
        <w:rPr>
          <w:rStyle w:val="Ttulo7Char"/>
          <w:rFonts w:cstheme="minorHAnsi"/>
          <w:sz w:val="16"/>
          <w:szCs w:val="16"/>
          <w:bdr w:val="none" w:sz="0" w:space="0" w:color="auto" w:frame="1"/>
        </w:rPr>
        <w:t>enxergar de forma balanceada</w:t>
      </w:r>
      <w:r w:rsidRPr="00CF1CF8">
        <w:rPr>
          <w:rFonts w:cstheme="minorHAnsi"/>
          <w:sz w:val="16"/>
          <w:szCs w:val="16"/>
        </w:rPr>
        <w:t>, todas as</w:t>
      </w:r>
      <w:r>
        <w:rPr>
          <w:rFonts w:cstheme="minorHAnsi"/>
          <w:b/>
          <w:sz w:val="16"/>
          <w:szCs w:val="16"/>
        </w:rPr>
        <w:t xml:space="preserve"> </w:t>
      </w:r>
      <w:r w:rsidRPr="00CF1CF8">
        <w:rPr>
          <w:rStyle w:val="Ttulo7Char"/>
          <w:rFonts w:cstheme="minorHAnsi"/>
          <w:sz w:val="16"/>
          <w:szCs w:val="16"/>
          <w:bdr w:val="none" w:sz="0" w:space="0" w:color="auto" w:frame="1"/>
        </w:rPr>
        <w:t>métricas da instituição, agrupadas em objetivos estratégicos</w:t>
      </w:r>
      <w:r>
        <w:rPr>
          <w:rFonts w:cstheme="minorHAnsi"/>
          <w:b/>
          <w:sz w:val="16"/>
          <w:szCs w:val="16"/>
        </w:rPr>
        <w:t xml:space="preserve"> </w:t>
      </w:r>
      <w:r w:rsidRPr="00CF1CF8">
        <w:rPr>
          <w:rFonts w:cstheme="minorHAnsi"/>
          <w:sz w:val="16"/>
          <w:szCs w:val="16"/>
        </w:rPr>
        <w:t>e que</w:t>
      </w:r>
      <w:r>
        <w:rPr>
          <w:rFonts w:cstheme="minorHAnsi"/>
          <w:b/>
          <w:sz w:val="16"/>
          <w:szCs w:val="16"/>
        </w:rPr>
        <w:t xml:space="preserve"> </w:t>
      </w:r>
      <w:r w:rsidRPr="00CF1CF8">
        <w:rPr>
          <w:rStyle w:val="Ttulo7Char"/>
          <w:rFonts w:cstheme="minorHAnsi"/>
          <w:sz w:val="16"/>
          <w:szCs w:val="16"/>
          <w:bdr w:val="none" w:sz="0" w:space="0" w:color="auto" w:frame="1"/>
        </w:rPr>
        <w:t>tenham uma relação de causa e efeito entre elas.</w:t>
      </w:r>
    </w:p>
    <w:p w:rsidR="00786278" w:rsidRDefault="00786278" w:rsidP="00437F91"/>
    <w:p w:rsidR="00786278" w:rsidRDefault="00786278" w:rsidP="00786278">
      <w:pPr>
        <w:jc w:val="left"/>
        <w:rPr>
          <w:sz w:val="16"/>
          <w:szCs w:val="16"/>
        </w:rPr>
      </w:pPr>
      <w:r>
        <w:rPr>
          <w:sz w:val="16"/>
          <w:szCs w:val="16"/>
        </w:rPr>
        <w:fldChar w:fldCharType="begin"/>
      </w:r>
      <w:r>
        <w:rPr>
          <w:sz w:val="16"/>
          <w:szCs w:val="16"/>
        </w:rPr>
        <w:instrText xml:space="preserve"> TC  “</w:instrText>
      </w:r>
      <w:bookmarkStart w:id="15" w:name="_Toc189119798"/>
      <w:r w:rsidRPr="00DC2889">
        <w:rPr>
          <w:sz w:val="16"/>
          <w:szCs w:val="16"/>
        </w:rPr>
        <w:instrText>Figura 1</w:instrText>
      </w:r>
      <w:r>
        <w:rPr>
          <w:sz w:val="16"/>
          <w:szCs w:val="16"/>
        </w:rPr>
        <w:instrText>2</w:instrText>
      </w:r>
      <w:r w:rsidRPr="00DC2889">
        <w:rPr>
          <w:sz w:val="16"/>
          <w:szCs w:val="16"/>
        </w:rPr>
        <w:instrText xml:space="preserve"> - Mapa Estratégico do TJMG/ DIRCOM</w:instrText>
      </w:r>
      <w:bookmarkEnd w:id="15"/>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sidRPr="00CF1CF8">
        <w:rPr>
          <w:sz w:val="16"/>
          <w:szCs w:val="16"/>
        </w:rPr>
        <w:t xml:space="preserve">Figura </w:t>
      </w:r>
      <w:r>
        <w:rPr>
          <w:sz w:val="16"/>
          <w:szCs w:val="16"/>
        </w:rPr>
        <w:t>12 -</w:t>
      </w:r>
      <w:r w:rsidRPr="00CF1CF8">
        <w:rPr>
          <w:sz w:val="16"/>
          <w:szCs w:val="16"/>
        </w:rPr>
        <w:t xml:space="preserve"> Mapa Estratégico do TJMG/ DIRCOM</w:t>
      </w:r>
    </w:p>
    <w:p w:rsidR="00786278" w:rsidRDefault="00786278" w:rsidP="00786278">
      <w:r>
        <w:t>3.6.3</w:t>
      </w:r>
      <w:r>
        <w:tab/>
        <w:t>Painel Estratégico</w:t>
      </w:r>
    </w:p>
    <w:p w:rsidR="00786278" w:rsidRDefault="00786278" w:rsidP="00786278">
      <w:r>
        <w:t xml:space="preserve">O painel estratégico consolida os indicadores acompanhados pelo TJMG no Ciclo de Planejamento Estratégico e suas respectivas metas, correlacionando-os aos </w:t>
      </w:r>
      <w:proofErr w:type="spellStart"/>
      <w:r>
        <w:t>Macrodesafios</w:t>
      </w:r>
      <w:proofErr w:type="spellEnd"/>
      <w:r>
        <w:t>, iniciativas e área responsável pelo alcance dos resultados almejados.</w:t>
      </w:r>
    </w:p>
    <w:p w:rsidR="00786278" w:rsidRDefault="00786278" w:rsidP="00786278">
      <w:r>
        <w:t>Os indicadores, por sua vez, são ferramentas de gestão que permitem avaliar se o desempenho e os resultados obtidos pela Instituição estão em conformidade com o planejado.</w:t>
      </w:r>
    </w:p>
    <w:p w:rsidR="00786278" w:rsidRDefault="00786278" w:rsidP="00786278">
      <w:r>
        <w:t>Já a meta é um estágio evolutivo a ser atingido no futuro. O Planejamento Estratégico do TJMG contempla tanto Metas Nacionais, oriundas da Estratégia Nacional do Poder Judiciário aprovadas no Encontro Nacional do Poder Judiciário, quanto Metas Institucionais, definidas pelo próprio TJMG.</w:t>
      </w:r>
    </w:p>
    <w:p w:rsidR="00786278" w:rsidRDefault="00786278" w:rsidP="00786278">
      <w:r>
        <w:t>Acesse o Painel Estratégico:</w:t>
      </w:r>
    </w:p>
    <w:p w:rsidR="00786278" w:rsidRDefault="00786278" w:rsidP="00786278">
      <w:r>
        <w:t>https://www8.tjmg.jus.br/institucional/at/pdf/pc16242024.pdf</w:t>
      </w:r>
    </w:p>
    <w:p w:rsidR="00786278" w:rsidRDefault="00786278" w:rsidP="00786278"/>
    <w:p w:rsidR="00786278" w:rsidRDefault="00786278" w:rsidP="00786278">
      <w:r>
        <w:t>3.6.4</w:t>
      </w:r>
      <w:r>
        <w:tab/>
        <w:t>Quadro de Iniciativas</w:t>
      </w:r>
    </w:p>
    <w:p w:rsidR="00786278" w:rsidRDefault="00786278" w:rsidP="00786278">
      <w:r>
        <w:lastRenderedPageBreak/>
        <w:t xml:space="preserve">As Iniciativas são programas, projetos e ações classificados como estratégicos devido a sua abrangência, complexidade, impacto orçamentário e financeiro, geração de resultados e relevância para o cumprimento da estratégia. </w:t>
      </w:r>
    </w:p>
    <w:p w:rsidR="00786278" w:rsidRDefault="00786278" w:rsidP="00786278">
      <w:r>
        <w:t>Acesse as Iniciativas Estratégicas com detalhamento no link:</w:t>
      </w:r>
    </w:p>
    <w:p w:rsidR="00786278" w:rsidRDefault="00A339BC" w:rsidP="00786278">
      <w:hyperlink r:id="rId6" w:history="1">
        <w:r w:rsidR="00786278" w:rsidRPr="005E404F">
          <w:rPr>
            <w:rStyle w:val="Hyperlink"/>
          </w:rPr>
          <w:t>https://www.tjmg.jus.br/data/files/8A/A0/2C/2B/B3FAB810CC27F9B82D28CCA8/MANUAL%20%20Ref_07Nov23_FINAL.pdf</w:t>
        </w:r>
      </w:hyperlink>
    </w:p>
    <w:p w:rsidR="00786278" w:rsidRDefault="00786278" w:rsidP="00786278">
      <w:r>
        <w:t>[INSERIR_QUEBRA_PAGINA]</w:t>
      </w:r>
    </w:p>
    <w:p w:rsidR="00786278" w:rsidRDefault="00786278" w:rsidP="00786278">
      <w:r>
        <w:t>3.6.5</w:t>
      </w:r>
      <w:r>
        <w:tab/>
        <w:t>Objetivos de Desenvolvimento Sustentável – ODS da Agenda 2030</w:t>
      </w:r>
    </w:p>
    <w:p w:rsidR="00786278" w:rsidRDefault="00786278" w:rsidP="00786278">
      <w:r>
        <w:t xml:space="preserve">O TJMG incorporou ao seu Planejamento Estratégico os Objetivos de Desenvolvimento Sustentável – ODS, que fazem parte da chamada “Agenda 2030”, um compromisso assumido por líderes de 193 Países, inclusive o Brasil, e coordenada pelas Nações Unidas, nos termos da Resolução A/RES/72/279.OP32, de 2018, da Assembleia Geral da ONU. </w:t>
      </w:r>
    </w:p>
    <w:p w:rsidR="00786278" w:rsidRDefault="00786278" w:rsidP="00786278">
      <w:r>
        <w:t xml:space="preserve">Os 17 ODS estão relacionados à efetivação dos direitos humanos e promoção do desenvolvimento. É evidente que quando há lesão ou ameaça de violação de direitos humanos, milhares de demandas são </w:t>
      </w:r>
      <w:proofErr w:type="spellStart"/>
      <w:r>
        <w:t>judicializadas</w:t>
      </w:r>
      <w:proofErr w:type="spellEnd"/>
      <w:r>
        <w:t>. Compete ao Poder Judiciário assegurar a razoável duração do processo e os meios que garantam sua celeridade, mas também buscar a prevenção de ocorrência de litígios.</w:t>
      </w:r>
    </w:p>
    <w:p w:rsidR="00786278" w:rsidRDefault="00786278" w:rsidP="00786278">
      <w:pPr>
        <w:autoSpaceDE w:val="0"/>
        <w:autoSpaceDN w:val="0"/>
        <w:adjustRightInd w:val="0"/>
        <w:spacing w:after="0"/>
        <w:jc w:val="left"/>
        <w:rPr>
          <w:sz w:val="16"/>
          <w:szCs w:val="16"/>
        </w:rPr>
      </w:pPr>
      <w:r>
        <w:rPr>
          <w:sz w:val="16"/>
          <w:szCs w:val="16"/>
        </w:rPr>
        <w:fldChar w:fldCharType="begin"/>
      </w:r>
      <w:r>
        <w:rPr>
          <w:sz w:val="16"/>
          <w:szCs w:val="16"/>
        </w:rPr>
        <w:instrText xml:space="preserve"> TC  “</w:instrText>
      </w:r>
      <w:bookmarkStart w:id="16" w:name="_Toc189119799"/>
      <w:r w:rsidRPr="00BE1C54">
        <w:rPr>
          <w:rFonts w:cs="Calibri"/>
          <w:sz w:val="16"/>
          <w:szCs w:val="16"/>
        </w:rPr>
        <w:instrText xml:space="preserve">Figura </w:instrText>
      </w:r>
      <w:r>
        <w:rPr>
          <w:rFonts w:cs="Calibri"/>
          <w:sz w:val="16"/>
          <w:szCs w:val="16"/>
        </w:rPr>
        <w:instrText>13 -</w:instrText>
      </w:r>
      <w:r w:rsidRPr="00BE1C54">
        <w:rPr>
          <w:rFonts w:cs="Calibri"/>
          <w:sz w:val="16"/>
          <w:szCs w:val="16"/>
        </w:rPr>
        <w:instrText xml:space="preserve"> ODS/ONU</w:instrText>
      </w:r>
      <w:bookmarkEnd w:id="16"/>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sidRPr="00BE1C54">
        <w:rPr>
          <w:rFonts w:cs="Calibri"/>
          <w:sz w:val="16"/>
          <w:szCs w:val="16"/>
        </w:rPr>
        <w:t xml:space="preserve">Figura </w:t>
      </w:r>
      <w:r>
        <w:rPr>
          <w:rFonts w:cs="Calibri"/>
          <w:sz w:val="16"/>
          <w:szCs w:val="16"/>
        </w:rPr>
        <w:t>13 -</w:t>
      </w:r>
      <w:r w:rsidRPr="00BE1C54">
        <w:rPr>
          <w:rFonts w:cs="Calibri"/>
          <w:sz w:val="16"/>
          <w:szCs w:val="16"/>
        </w:rPr>
        <w:t xml:space="preserve"> ODS/ONU - Fonte: </w:t>
      </w:r>
      <w:hyperlink r:id="rId7" w:history="1">
        <w:r w:rsidRPr="00BE1C54">
          <w:rPr>
            <w:sz w:val="16"/>
            <w:szCs w:val="16"/>
          </w:rPr>
          <w:t>https://brasil.un.org/pt-br/sdgs</w:t>
        </w:r>
      </w:hyperlink>
    </w:p>
    <w:p w:rsidR="00786278" w:rsidRDefault="00786278" w:rsidP="00786278">
      <w:r>
        <w:t>[INSERIR_QUEBRA_PAGINA]</w:t>
      </w:r>
    </w:p>
    <w:p w:rsidR="00786278" w:rsidRDefault="00786278" w:rsidP="00786278">
      <w:r>
        <w:t>3.6.6</w:t>
      </w:r>
      <w:r>
        <w:tab/>
        <w:t>Indicadores Nacionais de Desempenho do Poder Judiciário</w:t>
      </w:r>
    </w:p>
    <w:p w:rsidR="00786278" w:rsidRDefault="00786278" w:rsidP="00786278">
      <w:r>
        <w:t xml:space="preserve">Progresso adicional obtido se encontra na inserção dos Indicadores Nacionais de Desempenho do Poder Judiciário, no que couber ao Planejamento Estratégico do TJMG. Estes são mecanismos que auxiliam na orientação dos órgãos do judiciário em relação ao alcance dos </w:t>
      </w:r>
      <w:proofErr w:type="spellStart"/>
      <w:r>
        <w:t>Macrodesafios</w:t>
      </w:r>
      <w:proofErr w:type="spellEnd"/>
      <w:r>
        <w:t xml:space="preserve"> estabelecidos. A intenção é que esses indicadores apontem a direção e forneçam o panorama do Poder Judiciário ao longo dos anos de vigência da Estratégia.</w:t>
      </w:r>
    </w:p>
    <w:p w:rsidR="00786278" w:rsidRDefault="00786278" w:rsidP="00786278">
      <w:r>
        <w:t xml:space="preserve">Os indicadores de desempenho da Estratégia Nacional do Poder Judiciário, 2021 a 2026 estão disponíveis em: </w:t>
      </w:r>
    </w:p>
    <w:p w:rsidR="00786278" w:rsidRDefault="00786278" w:rsidP="00786278">
      <w:r>
        <w:lastRenderedPageBreak/>
        <w:t>https://www.cnj.jus.br/gestao-estrategica-e-planejamento/estrategia-nacional-do-poder-judiciario-2021-2026/monitoramento-e-avaliacao-da-estrategia-nacional-do-poder-judiciario-2021-2026/indicadores-de-desempenho/</w:t>
      </w:r>
    </w:p>
    <w:p w:rsidR="00786278" w:rsidRDefault="00786278" w:rsidP="00786278"/>
    <w:p w:rsidR="00786278" w:rsidRDefault="00786278" w:rsidP="00786278">
      <w:r>
        <w:t>3.6.7</w:t>
      </w:r>
      <w:r>
        <w:tab/>
        <w:t>PROJEF 5.0</w:t>
      </w:r>
    </w:p>
    <w:p w:rsidR="00786278" w:rsidRDefault="00786278" w:rsidP="00786278">
      <w:r>
        <w:t>Em complemento às diretrizes nacionais e institucionais existentes, 25 objetivos institucionais foram previstos, por meio da Portaria Conjunta nº 1373/2022 que instituiu o "Programa Justiça Eficiente - PROJEF 5.0" como instrumento norteador do aperfeiçoamento da Gestão Administrativa e da Governança Judiciária, no âmbito do Poder Judiciário do Estado de Minas Gerais. Para cada objetivo foi desenvolvido pelo menos um projeto, com estabelecimento das metas e das ações para cumprimento no curso do biênio 2022-2024.</w:t>
      </w:r>
    </w:p>
    <w:p w:rsidR="00786278" w:rsidRDefault="00786278" w:rsidP="00786278">
      <w:r>
        <w:t>O modelo de gestão das prioridades do TJMG encontra-se descrito na imagem abaixo.</w:t>
      </w:r>
    </w:p>
    <w:p w:rsidR="00786278" w:rsidRDefault="00786278" w:rsidP="00786278">
      <w:r>
        <w:t>[INSERIR_QUEBRA_PAGINA]</w:t>
      </w:r>
    </w:p>
    <w:p w:rsidR="00786278" w:rsidRPr="00D503FD" w:rsidRDefault="00786278" w:rsidP="00786278">
      <w:pPr>
        <w:jc w:val="left"/>
        <w:rPr>
          <w:sz w:val="16"/>
          <w:szCs w:val="16"/>
        </w:rPr>
      </w:pPr>
      <w:r>
        <w:rPr>
          <w:sz w:val="16"/>
          <w:szCs w:val="16"/>
        </w:rPr>
        <w:fldChar w:fldCharType="begin"/>
      </w:r>
      <w:r>
        <w:rPr>
          <w:sz w:val="16"/>
          <w:szCs w:val="16"/>
        </w:rPr>
        <w:instrText xml:space="preserve"> TC  “</w:instrText>
      </w:r>
      <w:bookmarkStart w:id="17" w:name="_Toc189119800"/>
      <w:r w:rsidRPr="00D503FD">
        <w:rPr>
          <w:sz w:val="16"/>
          <w:szCs w:val="16"/>
        </w:rPr>
        <w:instrText xml:space="preserve">Figura </w:instrText>
      </w:r>
      <w:r>
        <w:rPr>
          <w:sz w:val="16"/>
          <w:szCs w:val="16"/>
        </w:rPr>
        <w:instrText>14 -</w:instrText>
      </w:r>
      <w:r w:rsidRPr="00D503FD">
        <w:rPr>
          <w:sz w:val="16"/>
          <w:szCs w:val="16"/>
        </w:rPr>
        <w:instrText xml:space="preserve"> Modelo de gestão de prioridades do TJMG/ASPLAG</w:instrText>
      </w:r>
      <w:bookmarkEnd w:id="17"/>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sidRPr="00D503FD">
        <w:rPr>
          <w:sz w:val="16"/>
          <w:szCs w:val="16"/>
        </w:rPr>
        <w:t xml:space="preserve">Figura </w:t>
      </w:r>
      <w:r>
        <w:rPr>
          <w:sz w:val="16"/>
          <w:szCs w:val="16"/>
        </w:rPr>
        <w:t>14 -</w:t>
      </w:r>
      <w:r w:rsidRPr="00D503FD">
        <w:rPr>
          <w:sz w:val="16"/>
          <w:szCs w:val="16"/>
        </w:rPr>
        <w:t xml:space="preserve"> Modelo de gestão de prioridades do TJMG/ASPLAG</w:t>
      </w:r>
    </w:p>
    <w:p w:rsidR="00786278" w:rsidRDefault="00786278" w:rsidP="00786278">
      <w:r>
        <w:t>3.6.8</w:t>
      </w:r>
      <w:r>
        <w:tab/>
        <w:t>Matriz de Priorização de Iniciativas Estratégicas</w:t>
      </w:r>
    </w:p>
    <w:p w:rsidR="00786278" w:rsidRDefault="00786278" w:rsidP="00786278">
      <w:r>
        <w:t xml:space="preserve">Em 2022, diante da necessidade de se avaliar e identificar, com base em critérios claros e bem definidos, quais são as iniciativas que mais contribuem para a superação dos </w:t>
      </w:r>
      <w:proofErr w:type="spellStart"/>
      <w:r>
        <w:t>Macrodesafios</w:t>
      </w:r>
      <w:proofErr w:type="spellEnd"/>
      <w:r>
        <w:t xml:space="preserve"> da estratégia do TJMG, a ASPLAG/DEPLAG construiu e validou junto ao Comitê de Governança e Gestão Estratégica a primeira versão da matriz de priorização de iniciativas para o TJMG. Para além de possibilitar conhecer a maturidade dos projetos da instituição, a matriz subsidia a tomada de decisão da Alta Gestão quanto aos investimentos a serem realizados para fins do alcance da Estratégia Institucional.</w:t>
      </w:r>
    </w:p>
    <w:p w:rsidR="00786278" w:rsidRDefault="00786278" w:rsidP="00786278">
      <w:r>
        <w:t>Já em 2025, a Matriz de Priorização de Iniciativas passou por um processo de revisão, com o intuito de ampliar seu potencial de análise e identificação de iniciativas onde 13 critérios técnicos distribuídos em 3 blocos de análise (justificativa para o desenvolvimento, viabilidade de execução e alinhamento estratégico) verificam a presença de requisitos desejáveis de uma iniciativa bem estruturada. A partir da avaliação realizada, as iniciativas são pontuadas e ordenadas em um ranking da maior para a menor nota.</w:t>
      </w:r>
    </w:p>
    <w:p w:rsidR="00786278" w:rsidRPr="00ED171B" w:rsidRDefault="00786278" w:rsidP="00786278">
      <w:pPr>
        <w:rPr>
          <w:color w:val="000099"/>
        </w:rPr>
      </w:pPr>
      <w:r>
        <w:rPr>
          <w:sz w:val="16"/>
          <w:szCs w:val="16"/>
        </w:rPr>
        <w:lastRenderedPageBreak/>
        <w:fldChar w:fldCharType="begin"/>
      </w:r>
      <w:r>
        <w:rPr>
          <w:sz w:val="16"/>
          <w:szCs w:val="16"/>
        </w:rPr>
        <w:instrText xml:space="preserve"> TC  “</w:instrText>
      </w:r>
      <w:bookmarkStart w:id="18" w:name="_Toc189119801"/>
      <w:r w:rsidRPr="00D503FD">
        <w:rPr>
          <w:sz w:val="16"/>
          <w:szCs w:val="16"/>
        </w:rPr>
        <w:instrText xml:space="preserve">Figura </w:instrText>
      </w:r>
      <w:r>
        <w:rPr>
          <w:sz w:val="16"/>
          <w:szCs w:val="16"/>
        </w:rPr>
        <w:instrText>15 -</w:instrText>
      </w:r>
      <w:r w:rsidRPr="00D503FD">
        <w:rPr>
          <w:sz w:val="16"/>
          <w:szCs w:val="16"/>
        </w:rPr>
        <w:instrText xml:space="preserve"> Composição da Matriz de Priorização do TJMG/ ASPLAG</w:instrText>
      </w:r>
      <w:bookmarkEnd w:id="18"/>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sidRPr="00D503FD">
        <w:rPr>
          <w:sz w:val="16"/>
          <w:szCs w:val="16"/>
        </w:rPr>
        <w:t xml:space="preserve">Figura </w:t>
      </w:r>
      <w:r>
        <w:rPr>
          <w:sz w:val="16"/>
          <w:szCs w:val="16"/>
        </w:rPr>
        <w:t>15 -</w:t>
      </w:r>
      <w:r w:rsidRPr="00D503FD">
        <w:rPr>
          <w:sz w:val="16"/>
          <w:szCs w:val="16"/>
        </w:rPr>
        <w:t xml:space="preserve"> Composição da Matriz de Priorização do TJMG/ ASPLAG</w:t>
      </w:r>
      <w:r>
        <w:rPr>
          <w:sz w:val="16"/>
          <w:szCs w:val="16"/>
        </w:rPr>
        <w:t>.</w:t>
      </w:r>
    </w:p>
    <w:p w:rsidR="00786278" w:rsidRDefault="00786278" w:rsidP="00786278">
      <w:r>
        <w:t>3.7</w:t>
      </w:r>
      <w:r>
        <w:tab/>
        <w:t xml:space="preserve">Principais Grupos de Interesse </w:t>
      </w:r>
    </w:p>
    <w:p w:rsidR="00786278" w:rsidRDefault="00786278" w:rsidP="00786278">
      <w:r>
        <w:t xml:space="preserve">A imagem abaixo explicita os principais grupos que possuem interesse direto ou indireto nas ações, resultados, informações e nos serviços prestados pelo TJMG. </w:t>
      </w:r>
    </w:p>
    <w:p w:rsidR="00786278" w:rsidRDefault="00786278" w:rsidP="00786278">
      <w:r>
        <w:t>Considerando também as especificidades das demandas de cada grupo, fica evidente a complexidade, abrangência e o grande impacto da atuação deste Tribunal.</w:t>
      </w:r>
    </w:p>
    <w:p w:rsidR="00786278" w:rsidRPr="00330814" w:rsidRDefault="00786278" w:rsidP="00786278">
      <w:pPr>
        <w:spacing w:before="0" w:after="0" w:line="240" w:lineRule="auto"/>
        <w:jc w:val="left"/>
        <w:rPr>
          <w:rFonts w:cstheme="minorHAnsi"/>
          <w:sz w:val="16"/>
          <w:szCs w:val="16"/>
        </w:rPr>
      </w:pPr>
      <w:r>
        <w:rPr>
          <w:sz w:val="16"/>
          <w:szCs w:val="16"/>
        </w:rPr>
        <w:fldChar w:fldCharType="begin"/>
      </w:r>
      <w:r>
        <w:rPr>
          <w:sz w:val="16"/>
          <w:szCs w:val="16"/>
        </w:rPr>
        <w:instrText xml:space="preserve"> TC  “</w:instrText>
      </w:r>
      <w:bookmarkStart w:id="19" w:name="_Toc189119802"/>
      <w:r>
        <w:rPr>
          <w:rFonts w:cstheme="minorHAnsi"/>
          <w:sz w:val="16"/>
          <w:szCs w:val="16"/>
        </w:rPr>
        <w:instrText xml:space="preserve">Figura 16 </w:instrText>
      </w:r>
      <w:r>
        <w:rPr>
          <w:sz w:val="16"/>
          <w:szCs w:val="16"/>
        </w:rPr>
        <w:instrText>-</w:instrText>
      </w:r>
      <w:r>
        <w:rPr>
          <w:rFonts w:cstheme="minorHAnsi"/>
          <w:sz w:val="16"/>
          <w:szCs w:val="16"/>
        </w:rPr>
        <w:instrText xml:space="preserve"> Grupos de interesse do TJMG. </w:instrText>
      </w:r>
      <w:r w:rsidRPr="001E4442">
        <w:rPr>
          <w:rFonts w:cstheme="minorHAnsi"/>
          <w:sz w:val="16"/>
          <w:szCs w:val="16"/>
          <w:shd w:val="clear" w:color="auto" w:fill="FFFFFF"/>
        </w:rPr>
        <w:instrText>Fonte: Assessoria Técnica e Jurídica ao Planejamento e à Gestão Institucional – ASPLAG</w:instrText>
      </w:r>
      <w:bookmarkEnd w:id="19"/>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Pr>
          <w:rFonts w:cstheme="minorHAnsi"/>
          <w:sz w:val="16"/>
          <w:szCs w:val="16"/>
        </w:rPr>
        <w:t xml:space="preserve">Figura 16 </w:t>
      </w:r>
      <w:r>
        <w:rPr>
          <w:sz w:val="16"/>
          <w:szCs w:val="16"/>
        </w:rPr>
        <w:t>-</w:t>
      </w:r>
      <w:r>
        <w:rPr>
          <w:rFonts w:cstheme="minorHAnsi"/>
          <w:sz w:val="16"/>
          <w:szCs w:val="16"/>
        </w:rPr>
        <w:t xml:space="preserve"> Grupos de interesse do TJMG. </w:t>
      </w:r>
      <w:r w:rsidRPr="001E4442">
        <w:rPr>
          <w:rFonts w:cstheme="minorHAnsi"/>
          <w:sz w:val="16"/>
          <w:szCs w:val="16"/>
          <w:shd w:val="clear" w:color="auto" w:fill="FFFFFF"/>
        </w:rPr>
        <w:t>Fonte: Assessoria Técnica e Jurídica ao Planejamento e à Gestão Institucional – ASPLAG</w:t>
      </w:r>
      <w:r>
        <w:rPr>
          <w:rFonts w:cstheme="minorHAnsi"/>
          <w:sz w:val="16"/>
          <w:szCs w:val="16"/>
          <w:shd w:val="clear" w:color="auto" w:fill="FFFFFF"/>
        </w:rPr>
        <w:t>.</w:t>
      </w:r>
    </w:p>
    <w:p w:rsidR="00786278" w:rsidRDefault="00786278" w:rsidP="00786278">
      <w:r>
        <w:t>3.8</w:t>
      </w:r>
      <w:r>
        <w:tab/>
        <w:t>Aspectos Tecnológicos do TJMG</w:t>
      </w:r>
    </w:p>
    <w:p w:rsidR="00786278" w:rsidRDefault="00786278" w:rsidP="00786278">
      <w:r>
        <w:t>A Diretoria Executiva de Informática (DIRFOR), alinhada com as diretrizes institucionais da Direção do TJMG, conduziu, só em 2024, mais de 150 projetos, atendeu em torno de 184.000 chamados de suporte e implementou mais de 8.700 mudanças nos diversos sistemas suportados pela diretoria.</w:t>
      </w:r>
    </w:p>
    <w:p w:rsidR="00786278" w:rsidRDefault="00786278" w:rsidP="00786278">
      <w:r>
        <w:t xml:space="preserve">Atualmente, mais de 90 projetos já estão em andamento e muitos outros ainda serão priorizados. São projetos de construção e evolução de soluções tecnológicas, contratações de equipamentos, softwares e serviços de TIC, melhorias na área de segurança cibernética, uso de inteligência artificial e atendimento a resoluções do CNJ, como é o caso da resolução 370 e do próprio </w:t>
      </w:r>
      <w:proofErr w:type="spellStart"/>
      <w:r>
        <w:t>iGOV</w:t>
      </w:r>
      <w:proofErr w:type="spellEnd"/>
      <w:r>
        <w:t>-TIC-JUD, no qual mantemos a meta de estar entre os Tribunais com nível de excelência.</w:t>
      </w:r>
    </w:p>
    <w:p w:rsidR="00786278" w:rsidRPr="0033000A" w:rsidRDefault="00786278" w:rsidP="00786278">
      <w:pPr>
        <w:pStyle w:val="Corpodetexto"/>
        <w:spacing w:before="120" w:after="0" w:line="360" w:lineRule="auto"/>
        <w:rPr>
          <w:rFonts w:cstheme="minorHAnsi"/>
          <w:b/>
          <w:bCs/>
          <w:color w:val="A21612"/>
          <w:szCs w:val="24"/>
        </w:rPr>
      </w:pPr>
      <w:r w:rsidRPr="0033000A">
        <w:rPr>
          <w:rFonts w:cstheme="minorHAnsi"/>
          <w:b/>
          <w:bCs/>
          <w:color w:val="A21612"/>
          <w:szCs w:val="24"/>
        </w:rPr>
        <w:t>Situação atual - Projetos iniciados e resultados alcançados</w:t>
      </w:r>
    </w:p>
    <w:p w:rsidR="00786278" w:rsidRPr="000A718D" w:rsidRDefault="00786278" w:rsidP="00786278">
      <w:pPr>
        <w:spacing w:after="0"/>
        <w:rPr>
          <w:szCs w:val="24"/>
        </w:rPr>
      </w:pPr>
      <w:r w:rsidRPr="000A718D">
        <w:rPr>
          <w:szCs w:val="24"/>
        </w:rPr>
        <w:t>Entre esses projetos, alguns merecem destaque dada a sua relevância para a modernização e melhoria da prestação jurisdicional, através do fornecimento de novas e importantes soluções tecnológicas, bem como da padronização e expansão do processo judicial eletrônico no Estado.</w:t>
      </w:r>
    </w:p>
    <w:p w:rsidR="00786278" w:rsidRDefault="00786278" w:rsidP="00786278">
      <w:pPr>
        <w:shd w:val="clear" w:color="auto" w:fill="FFFFFF"/>
        <w:spacing w:after="0"/>
        <w:rPr>
          <w:rFonts w:cstheme="minorHAnsi"/>
          <w:szCs w:val="24"/>
        </w:rPr>
      </w:pPr>
      <w:r w:rsidRPr="000A718D">
        <w:rPr>
          <w:rFonts w:cstheme="minorHAnsi"/>
          <w:szCs w:val="24"/>
        </w:rPr>
        <w:t>São eles:</w:t>
      </w:r>
    </w:p>
    <w:p w:rsidR="00786278" w:rsidRPr="000A718D" w:rsidRDefault="00786278" w:rsidP="00786278">
      <w:pPr>
        <w:spacing w:before="0" w:after="0"/>
        <w:contextualSpacing/>
        <w:jc w:val="left"/>
        <w:rPr>
          <w:rFonts w:cstheme="minorHAnsi"/>
          <w:szCs w:val="24"/>
        </w:rPr>
      </w:pPr>
      <w:r w:rsidRPr="00786278">
        <w:rPr>
          <w:rFonts w:cstheme="minorHAnsi"/>
          <w:szCs w:val="24"/>
        </w:rPr>
        <w:t>[INICIAR_LISTA_MARCADORES]</w:t>
      </w:r>
    </w:p>
    <w:p w:rsidR="00786278" w:rsidRPr="00F5128B" w:rsidRDefault="00786278" w:rsidP="00F5128B">
      <w:pPr>
        <w:shd w:val="clear" w:color="auto" w:fill="FFFFFF"/>
        <w:spacing w:after="0"/>
        <w:rPr>
          <w:rFonts w:cstheme="minorHAnsi"/>
          <w:szCs w:val="24"/>
        </w:rPr>
      </w:pPr>
      <w:r w:rsidRPr="00F5128B">
        <w:rPr>
          <w:rFonts w:cstheme="minorHAnsi"/>
          <w:szCs w:val="24"/>
        </w:rPr>
        <w:t>Implantação e expansão do sistema de processo judicial eletrônico – EPROC;</w:t>
      </w:r>
    </w:p>
    <w:p w:rsidR="00786278" w:rsidRPr="00F5128B" w:rsidRDefault="00786278" w:rsidP="00F5128B">
      <w:pPr>
        <w:shd w:val="clear" w:color="auto" w:fill="FFFFFF"/>
        <w:spacing w:after="0"/>
        <w:rPr>
          <w:rFonts w:cstheme="minorHAnsi"/>
          <w:szCs w:val="24"/>
        </w:rPr>
      </w:pPr>
      <w:r w:rsidRPr="00F5128B">
        <w:rPr>
          <w:rFonts w:cstheme="minorHAnsi"/>
          <w:szCs w:val="24"/>
        </w:rPr>
        <w:t>Conclusão da contratação de solução para Gestão Financeira e Orçamentária – GFO;</w:t>
      </w:r>
    </w:p>
    <w:p w:rsidR="00786278" w:rsidRPr="00F5128B" w:rsidRDefault="00786278" w:rsidP="00F5128B">
      <w:pPr>
        <w:shd w:val="clear" w:color="auto" w:fill="FFFFFF"/>
        <w:spacing w:after="0"/>
        <w:rPr>
          <w:rFonts w:cstheme="minorHAnsi"/>
          <w:szCs w:val="24"/>
        </w:rPr>
      </w:pPr>
      <w:r w:rsidRPr="00F5128B">
        <w:rPr>
          <w:rFonts w:cstheme="minorHAnsi"/>
          <w:szCs w:val="24"/>
        </w:rPr>
        <w:t>Sistema de Depósito Judicial Nacional – SIDEJUD;</w:t>
      </w:r>
    </w:p>
    <w:p w:rsidR="00786278" w:rsidRPr="00F5128B" w:rsidRDefault="00786278" w:rsidP="00F5128B">
      <w:pPr>
        <w:shd w:val="clear" w:color="auto" w:fill="FFFFFF"/>
        <w:spacing w:after="0"/>
        <w:rPr>
          <w:rFonts w:cstheme="minorHAnsi"/>
          <w:szCs w:val="24"/>
        </w:rPr>
      </w:pPr>
      <w:r w:rsidRPr="00F5128B">
        <w:rPr>
          <w:rFonts w:cstheme="minorHAnsi"/>
          <w:szCs w:val="24"/>
        </w:rPr>
        <w:t>Implantação do sistema Meu Gabinete;</w:t>
      </w:r>
    </w:p>
    <w:p w:rsidR="00786278" w:rsidRPr="00F5128B" w:rsidRDefault="00786278" w:rsidP="00F5128B">
      <w:pPr>
        <w:shd w:val="clear" w:color="auto" w:fill="FFFFFF"/>
        <w:spacing w:after="0"/>
        <w:rPr>
          <w:rFonts w:cstheme="minorHAnsi"/>
          <w:szCs w:val="24"/>
        </w:rPr>
      </w:pPr>
      <w:r w:rsidRPr="00F5128B">
        <w:rPr>
          <w:rFonts w:cstheme="minorHAnsi"/>
          <w:szCs w:val="24"/>
        </w:rPr>
        <w:lastRenderedPageBreak/>
        <w:t>Implantação dos serviços gerenciados de segurança cibernética;</w:t>
      </w:r>
    </w:p>
    <w:p w:rsidR="00786278" w:rsidRPr="00F5128B" w:rsidRDefault="00786278" w:rsidP="00F5128B">
      <w:pPr>
        <w:shd w:val="clear" w:color="auto" w:fill="FFFFFF"/>
        <w:spacing w:after="0"/>
        <w:rPr>
          <w:rFonts w:cstheme="minorHAnsi"/>
          <w:szCs w:val="24"/>
        </w:rPr>
      </w:pPr>
      <w:r w:rsidRPr="00F5128B">
        <w:rPr>
          <w:rFonts w:cstheme="minorHAnsi"/>
          <w:szCs w:val="24"/>
        </w:rPr>
        <w:t xml:space="preserve">Disponibilização do </w:t>
      </w:r>
      <w:proofErr w:type="gramStart"/>
      <w:r w:rsidRPr="00F5128B">
        <w:rPr>
          <w:rFonts w:cstheme="minorHAnsi"/>
          <w:szCs w:val="24"/>
        </w:rPr>
        <w:t>aplicativo Meu</w:t>
      </w:r>
      <w:proofErr w:type="gramEnd"/>
      <w:r w:rsidRPr="00F5128B">
        <w:rPr>
          <w:rFonts w:cstheme="minorHAnsi"/>
          <w:szCs w:val="24"/>
        </w:rPr>
        <w:t xml:space="preserve"> RH;</w:t>
      </w:r>
    </w:p>
    <w:p w:rsidR="00786278" w:rsidRPr="00F5128B" w:rsidRDefault="00786278" w:rsidP="00F5128B">
      <w:pPr>
        <w:shd w:val="clear" w:color="auto" w:fill="FFFFFF"/>
        <w:spacing w:after="0"/>
        <w:rPr>
          <w:rFonts w:cstheme="minorHAnsi"/>
          <w:szCs w:val="24"/>
        </w:rPr>
      </w:pPr>
      <w:r w:rsidRPr="00F5128B">
        <w:rPr>
          <w:rFonts w:cstheme="minorHAnsi"/>
          <w:szCs w:val="24"/>
        </w:rPr>
        <w:t>Implantação do sistema de Votação Eletrônica;</w:t>
      </w:r>
    </w:p>
    <w:p w:rsidR="00786278" w:rsidRPr="00F5128B" w:rsidRDefault="00786278" w:rsidP="00F5128B">
      <w:pPr>
        <w:shd w:val="clear" w:color="auto" w:fill="FFFFFF"/>
        <w:spacing w:after="0"/>
        <w:rPr>
          <w:rFonts w:cstheme="minorHAnsi"/>
          <w:szCs w:val="24"/>
        </w:rPr>
      </w:pPr>
      <w:r w:rsidRPr="00F5128B">
        <w:rPr>
          <w:rFonts w:cstheme="minorHAnsi"/>
          <w:szCs w:val="24"/>
        </w:rPr>
        <w:t>Implantação do duplo fator de autenticação para os sistemas;</w:t>
      </w:r>
    </w:p>
    <w:p w:rsidR="00786278" w:rsidRPr="00F5128B" w:rsidRDefault="00786278" w:rsidP="00F5128B">
      <w:pPr>
        <w:shd w:val="clear" w:color="auto" w:fill="FFFFFF"/>
        <w:spacing w:after="0"/>
        <w:rPr>
          <w:rFonts w:cstheme="minorHAnsi"/>
          <w:szCs w:val="24"/>
        </w:rPr>
      </w:pPr>
      <w:r w:rsidRPr="00F5128B">
        <w:rPr>
          <w:rFonts w:cstheme="minorHAnsi"/>
          <w:szCs w:val="24"/>
        </w:rPr>
        <w:t>Implantação da solução para agendamento de salas nos Fóruns Digitais;</w:t>
      </w:r>
    </w:p>
    <w:p w:rsidR="00786278" w:rsidRPr="00F5128B" w:rsidRDefault="00786278" w:rsidP="00F5128B">
      <w:pPr>
        <w:shd w:val="clear" w:color="auto" w:fill="FFFFFF"/>
        <w:spacing w:after="0"/>
        <w:rPr>
          <w:rFonts w:cstheme="minorHAnsi"/>
          <w:szCs w:val="24"/>
        </w:rPr>
      </w:pPr>
      <w:r w:rsidRPr="00F5128B">
        <w:rPr>
          <w:rFonts w:cstheme="minorHAnsi"/>
          <w:szCs w:val="24"/>
        </w:rPr>
        <w:t>Implantação da solução de Software de Colaboração – Google.</w:t>
      </w:r>
    </w:p>
    <w:p w:rsidR="00786278" w:rsidRPr="00786278" w:rsidRDefault="00786278" w:rsidP="00786278">
      <w:pPr>
        <w:spacing w:before="0" w:after="0"/>
        <w:jc w:val="left"/>
        <w:rPr>
          <w:rFonts w:cstheme="minorHAnsi"/>
          <w:szCs w:val="24"/>
        </w:rPr>
      </w:pPr>
      <w:r w:rsidRPr="00786278">
        <w:rPr>
          <w:rFonts w:cstheme="minorHAnsi"/>
          <w:szCs w:val="24"/>
        </w:rPr>
        <w:t>[FINALIZAR_LISTA_MARCADORES]</w:t>
      </w:r>
    </w:p>
    <w:p w:rsidR="00786278" w:rsidRDefault="00786278" w:rsidP="00786278">
      <w:r>
        <w:t>Desafios para 2025</w:t>
      </w:r>
    </w:p>
    <w:p w:rsidR="00786278" w:rsidRDefault="00786278" w:rsidP="00786278">
      <w:r>
        <w:t xml:space="preserve">O Tribunal de Justiça de Minas Gerais, alinhado aos </w:t>
      </w:r>
      <w:proofErr w:type="spellStart"/>
      <w:r>
        <w:t>macrodesafios</w:t>
      </w:r>
      <w:proofErr w:type="spellEnd"/>
      <w:r>
        <w:t xml:space="preserve"> do Poder Judiciário e à busca constante pela excelência em governança de TIC, enfrenta um cenário de transformação digital que demanda ações estratégicas robustas para 2025. Em consonância com o índice de Governança, Gestão e Infraestrutura de Tecnologia da Informação e Comunicação (</w:t>
      </w:r>
      <w:proofErr w:type="spellStart"/>
      <w:r>
        <w:t>iGovTIC</w:t>
      </w:r>
      <w:proofErr w:type="spellEnd"/>
      <w:r>
        <w:t>-JUD), e mantendo nosso compromisso com a eficiência operacional, identificamos desafios cruciais que precisam ser endereçados.</w:t>
      </w:r>
    </w:p>
    <w:p w:rsidR="00786278" w:rsidRDefault="00786278" w:rsidP="00786278">
      <w:r>
        <w:t>Nossa perspectiva de aprendizado e crescimento nos direciona para uma evolução significativa em áreas críticas, visando não apenas o fortalecimento da estratégia de TIC, mas também a proteção de dados e a modernização dos serviços. Estes desafios se alinham diretamente com nossos objetivos de promover a melhoria da governança, gestão e infraestrutura de TIC, garantindo benefícios tangíveis para toda a instituição.</w:t>
      </w:r>
    </w:p>
    <w:p w:rsidR="00786278" w:rsidRDefault="00786278" w:rsidP="00786278">
      <w:r>
        <w:t>Em um cenário onde a transformação digital se acelera exponencialmente, nossos principais desafios para 2025 incluem:</w:t>
      </w:r>
    </w:p>
    <w:p w:rsidR="00786278" w:rsidRPr="00786278" w:rsidRDefault="00786278" w:rsidP="00786278">
      <w:pPr>
        <w:spacing w:before="0" w:after="0"/>
        <w:contextualSpacing/>
        <w:jc w:val="left"/>
        <w:rPr>
          <w:rFonts w:cstheme="minorHAnsi"/>
          <w:szCs w:val="24"/>
        </w:rPr>
      </w:pPr>
      <w:r w:rsidRPr="00786278">
        <w:rPr>
          <w:rFonts w:cstheme="minorHAnsi"/>
          <w:szCs w:val="24"/>
        </w:rPr>
        <w:t>[INICIAR_LISTA_MARCADORES]</w:t>
      </w:r>
    </w:p>
    <w:p w:rsidR="00786278" w:rsidRDefault="00786278" w:rsidP="00F5128B">
      <w:r>
        <w:t>Expansão do sistema de processo judicial eletrônico – EPROC e sua integração com outros sistemas;</w:t>
      </w:r>
    </w:p>
    <w:p w:rsidR="00786278" w:rsidRDefault="00786278" w:rsidP="00F5128B">
      <w:r>
        <w:t>Melhoria da segurança Cibernética;</w:t>
      </w:r>
    </w:p>
    <w:p w:rsidR="00786278" w:rsidRDefault="00786278" w:rsidP="00F5128B">
      <w:r>
        <w:t>Ampliação do uso de Inteligência Artificial e sua governança;</w:t>
      </w:r>
    </w:p>
    <w:p w:rsidR="00786278" w:rsidRDefault="00786278" w:rsidP="00F5128B">
      <w:r>
        <w:t>Implantação de nova ferramenta de ITSM e melhoria dos processos internos para aumentar a qualidade dos serviços de TIC;</w:t>
      </w:r>
    </w:p>
    <w:p w:rsidR="00786278" w:rsidRDefault="00786278" w:rsidP="00F5128B">
      <w:r>
        <w:lastRenderedPageBreak/>
        <w:t>Contratação e início de operação da nova Central de Serviços de TIC, modernizando e ampliando os serviços de atendimento e suporte aos usuários;</w:t>
      </w:r>
    </w:p>
    <w:p w:rsidR="00786278" w:rsidRDefault="00786278" w:rsidP="00F5128B">
      <w:r>
        <w:t>Aumento do uso de sistemas no-</w:t>
      </w:r>
      <w:proofErr w:type="spellStart"/>
      <w:r>
        <w:t>code</w:t>
      </w:r>
      <w:proofErr w:type="spellEnd"/>
      <w:r>
        <w:t xml:space="preserve"> e </w:t>
      </w:r>
      <w:proofErr w:type="spellStart"/>
      <w:r>
        <w:t>low-code</w:t>
      </w:r>
      <w:proofErr w:type="spellEnd"/>
      <w:r>
        <w:t>, permitindo automações pelos próprios usuários das áreas de negócio;</w:t>
      </w:r>
    </w:p>
    <w:p w:rsidR="00786278" w:rsidRDefault="00786278" w:rsidP="00F5128B">
      <w:r>
        <w:t>Implantação dos primeiros módulos do Sistema de Gestão Financeira e Orçamentária -GFO;</w:t>
      </w:r>
    </w:p>
    <w:p w:rsidR="00786278" w:rsidRDefault="00786278" w:rsidP="00F5128B">
      <w:r>
        <w:t>Contratação e implantação de solução para integrar projetos, programas, metas e planos diretores com planejamento estratégico da Instituição;</w:t>
      </w:r>
    </w:p>
    <w:p w:rsidR="00786278" w:rsidRDefault="00786278" w:rsidP="00F5128B">
      <w:r>
        <w:t>Modernização constante e consolidação da nossa infraestrutura tecnológica, principalmente com os ambientes em nuvem.</w:t>
      </w:r>
    </w:p>
    <w:p w:rsidR="00786278" w:rsidRDefault="00786278" w:rsidP="00786278">
      <w:pPr>
        <w:spacing w:before="0" w:after="0"/>
        <w:contextualSpacing/>
        <w:jc w:val="left"/>
        <w:rPr>
          <w:rFonts w:cstheme="minorHAnsi"/>
          <w:szCs w:val="24"/>
        </w:rPr>
      </w:pPr>
      <w:r w:rsidRPr="00786278">
        <w:rPr>
          <w:rFonts w:cstheme="minorHAnsi"/>
          <w:szCs w:val="24"/>
        </w:rPr>
        <w:t>[FINALIZAR_LISTA_MARCADORES]</w:t>
      </w:r>
    </w:p>
    <w:p w:rsidR="00786278" w:rsidRDefault="00786278" w:rsidP="00786278"/>
    <w:p w:rsidR="00786278" w:rsidRDefault="00786278" w:rsidP="00786278">
      <w:r>
        <w:t>3.8.1</w:t>
      </w:r>
      <w:r>
        <w:tab/>
        <w:t>Sistema Eletrônico de Informações (SEI)</w:t>
      </w:r>
    </w:p>
    <w:p w:rsidR="00786278" w:rsidRDefault="00786278" w:rsidP="00786278">
      <w:r>
        <w:t>O Sistema Eletrônico de Informações (SEI) é uma ferramenta de gestão e processamento eletrônico de documentos e processos administrativos que tem se destacado cada vez mais como uma peça fundamental na modernização dos processos de trabalho administrativo. De 2021 até o ano de 2024, vários projetos têm contribuído para sua relevância, consolidando-o como uma plataforma essencial.</w:t>
      </w:r>
    </w:p>
    <w:p w:rsidR="00786278" w:rsidRDefault="00786278" w:rsidP="00786278">
      <w:r>
        <w:t>Entre os projetos concluídos, podemos citar a implantação da versão 4.0 do SEI, que trouxe não apenas uma nova identidade visual, mas também novas ferramentas para aprimorar a rotina administrativa do Tribunal de Justiça de Minas Gerais. Além disso, houve a expansão do "SEI Frota" para Comarcas do Interior, facilitando a gestão de veículos.</w:t>
      </w:r>
    </w:p>
    <w:p w:rsidR="00786278" w:rsidRDefault="00786278" w:rsidP="00786278">
      <w:r>
        <w:t xml:space="preserve">Em se tratando da captação de demandas externas, o uso do SEI foi aprimorado com a utilização para o cadastro de instituições de ensino que oferecem cursos de conciliador e mediador no TJMG, o credenciamento de clínicas psicológicas para avaliações de candidatos à Magistratura e a nomeação de Juízes Leigos, otimizando o processamento. Além disso, houve a expansão do "Canal Fale com o TJMG" para direções do Foro do Interior, bem como a inclusão de novos tipos de demandas a serem autuadas por </w:t>
      </w:r>
      <w:r>
        <w:lastRenderedPageBreak/>
        <w:t>usuários externos - um novo canal de denúncia, para registros de Notícias de Tortura ou Maus-Tratos em unidades prisionais e socioeducativas - e um novo canal de solicitação, para agendamento de reuniões por agentes externos com o Centro de Inteligência da Justiça de Minas Gerais - CIJMG.</w:t>
      </w:r>
    </w:p>
    <w:p w:rsidR="00786278" w:rsidRDefault="00786278" w:rsidP="00786278">
      <w:r>
        <w:t>O catálogo de processos do SEI também foi desenvolvido para promover a celeridade e o correto direcionamento das demandas.</w:t>
      </w:r>
    </w:p>
    <w:p w:rsidR="00786278" w:rsidRDefault="00786278" w:rsidP="00786278">
      <w:r>
        <w:t xml:space="preserve">Em relação à governança, transparência e sustentabilidade na utilização do SEI, a ampliação da </w:t>
      </w:r>
      <w:proofErr w:type="spellStart"/>
      <w:r>
        <w:t>Rede-SEI</w:t>
      </w:r>
      <w:proofErr w:type="spellEnd"/>
      <w:r>
        <w:t xml:space="preserve"> incluiu a Defensoria Pública do Estado de MG, fortalecendo a cooperação técnica. Também houve a renovação do acordo entre o TJMG e o TRF4, garantindo a continuidade da utilização do SEI. Além disso, foi criada a Portaria 1.449/PR/23 para regulamentar o uso sustentável do sistema.</w:t>
      </w:r>
    </w:p>
    <w:p w:rsidR="00786278" w:rsidRDefault="00786278" w:rsidP="00786278"/>
    <w:p w:rsidR="00786278" w:rsidRDefault="00786278" w:rsidP="00786278">
      <w:r>
        <w:t>3.9</w:t>
      </w:r>
      <w:r>
        <w:tab/>
        <w:t>Atuação do TJMG com Impacto Social</w:t>
      </w:r>
    </w:p>
    <w:p w:rsidR="00786278" w:rsidRDefault="00786278" w:rsidP="00786278">
      <w:r>
        <w:t>“Projeto social deve ser entendido como o conjunto de atividades praticadas pelo órgão, que extrapolam a sua missão, para atender, ainda que parcialmente, às necessidades de grupos que, por si só, não possuem condições de satisfazê-las”, segundo o conceito exposto pelo Conselho Nacional de Justiça – CNJ.</w:t>
      </w:r>
    </w:p>
    <w:p w:rsidR="00786278" w:rsidRDefault="00786278" w:rsidP="00786278">
      <w:r>
        <w:t>Segundo o Presidente do Tribunal de Justiça do Estado de Minas Gerais, Desembargador Luiz Carlos de Azevedo Corrêa Junior, “... não podemos esquecer que somos atores sociais e temos uma responsabilidade fora de nossos muros. Como membro do Poder Judiciário, que tem como ideal a Justiça, nada mais justo que busquemos ajudar aqueles e aquelas que mais necessitam de nosso auxílio”.</w:t>
      </w:r>
    </w:p>
    <w:p w:rsidR="00786278" w:rsidRDefault="00786278" w:rsidP="00786278">
      <w:r>
        <w:t xml:space="preserve">A responsabilidade social é um conceito que norteia as diversas ações do TJMG. </w:t>
      </w:r>
    </w:p>
    <w:p w:rsidR="00786278" w:rsidRDefault="00786278" w:rsidP="00786278">
      <w:r>
        <w:t xml:space="preserve">Firmar novas cooperações entre o TJMG e a sociedade, no sentido de propiciar melhorias das condições de vida dos mineiros em situação de vulnerabilidade social, como o escopo de contribuir para a criação de uma sociedade mais justa, inclusiva e solidária. </w:t>
      </w:r>
    </w:p>
    <w:p w:rsidR="00786278" w:rsidRDefault="00786278" w:rsidP="00786278">
      <w:r>
        <w:t xml:space="preserve">Diversos são os projetos sociais executados ou patrocinados pelo TJMG e aqueles realizados por meio de parcerias, que beneficiam pessoas da comunidade e seus </w:t>
      </w:r>
      <w:r>
        <w:lastRenderedPageBreak/>
        <w:t>familiares abarcando os seguintes conceitos: acesso à justiça e aos direitos fundamentais; atenção à vulnerabilidade social; divulgação e conscientização de direitos; serviços essenciais e cidadania; solidariedade, amparo e defesa; promoção da paz social e cultura; apoio e reconstrução e inclusão social.</w:t>
      </w:r>
    </w:p>
    <w:p w:rsidR="00786278" w:rsidRDefault="00786278" w:rsidP="00786278">
      <w:r>
        <w:t>Diferentes públicos são diretamente beneficiados, entre eles: crianças e adolescentes órfãos ou abrigados; jovens no sistema socioeducativo; mulheres vítimas de violência doméstica e sob proteção do estado; povos indígenas e comunidades tradicionais; pessoas em situação de rua e vulnerabilidade social; pessoas vítimas de desastres ambientais e outros e egressos do sistema prisional.</w:t>
      </w:r>
    </w:p>
    <w:p w:rsidR="00786278" w:rsidRDefault="00786278" w:rsidP="00786278">
      <w:r>
        <w:t>Nesse sentido, relacionamos os projetos, ações e ou programas que possuem positiva repercussão na comunidade, compondo relevante agenda social deste Egrégio Tribunal de Justiça ao longo do ano de 2024.</w:t>
      </w:r>
    </w:p>
    <w:p w:rsidR="00DA7D89" w:rsidRDefault="00E02364" w:rsidP="00DE6521">
      <w:pPr>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 xml:space="preserve">Ações vinculadas ao GMF </w:t>
      </w:r>
    </w:p>
    <w:p w:rsidR="00DA7D89" w:rsidRPr="00DA7D89" w:rsidRDefault="00DA7D89" w:rsidP="00DE6521">
      <w:pPr>
        <w:spacing w:after="0"/>
        <w:contextualSpacing/>
        <w:rPr>
          <w:rFonts w:cstheme="minorHAnsi"/>
          <w:szCs w:val="24"/>
        </w:rPr>
      </w:pPr>
      <w:r w:rsidRPr="00786278">
        <w:rPr>
          <w:rFonts w:cstheme="minorHAnsi"/>
          <w:szCs w:val="24"/>
        </w:rPr>
        <w:t>[INICIAR_LISTA_MARCADORES]</w:t>
      </w:r>
    </w:p>
    <w:p w:rsidR="00DA5ECD" w:rsidRPr="005F20D5" w:rsidRDefault="00DA5ECD" w:rsidP="00DE6521">
      <w:pPr>
        <w:spacing w:after="0"/>
        <w:contextualSpacing/>
        <w:rPr>
          <w:rFonts w:cstheme="minorHAnsi"/>
          <w:b/>
          <w:color w:val="A21612"/>
          <w:szCs w:val="24"/>
        </w:rPr>
      </w:pPr>
      <w:r w:rsidRPr="00A12F6E">
        <w:rPr>
          <w:rFonts w:cstheme="minorHAnsi"/>
          <w:szCs w:val="24"/>
        </w:rPr>
        <w:t xml:space="preserve">7.698 </w:t>
      </w:r>
      <w:proofErr w:type="spellStart"/>
      <w:r w:rsidRPr="005F20D5">
        <w:rPr>
          <w:rFonts w:cstheme="minorHAnsi"/>
          <w:szCs w:val="24"/>
        </w:rPr>
        <w:t>recuperandos</w:t>
      </w:r>
      <w:proofErr w:type="spellEnd"/>
      <w:r w:rsidRPr="00A12F6E">
        <w:rPr>
          <w:rFonts w:cstheme="minorHAnsi"/>
          <w:szCs w:val="24"/>
        </w:rPr>
        <w:t xml:space="preserve"> sendo beneficiados com a metodologia </w:t>
      </w:r>
      <w:proofErr w:type="spellStart"/>
      <w:r w:rsidRPr="00A12F6E">
        <w:rPr>
          <w:rFonts w:cstheme="minorHAnsi"/>
          <w:szCs w:val="24"/>
        </w:rPr>
        <w:t>Apaqueana</w:t>
      </w:r>
      <w:proofErr w:type="spellEnd"/>
      <w:r w:rsidRPr="00A12F6E">
        <w:rPr>
          <w:rFonts w:cstheme="minorHAnsi"/>
          <w:szCs w:val="24"/>
        </w:rPr>
        <w:t xml:space="preserve"> (APAC – associação de Proteção e Assistência aos Condenados), até 31 dezembro de 2024.</w:t>
      </w:r>
    </w:p>
    <w:p w:rsidR="00DA5ECD" w:rsidRPr="00A12F6E" w:rsidRDefault="00DA5ECD" w:rsidP="00DE6521">
      <w:pPr>
        <w:spacing w:after="0"/>
        <w:ind w:left="-3"/>
        <w:contextualSpacing/>
        <w:rPr>
          <w:rFonts w:cstheme="minorHAnsi"/>
          <w:strike/>
          <w:szCs w:val="24"/>
        </w:rPr>
      </w:pPr>
      <w:r w:rsidRPr="00A12F6E">
        <w:rPr>
          <w:rFonts w:cstheme="minorHAnsi"/>
          <w:szCs w:val="24"/>
        </w:rPr>
        <w:t>3.266 pacientes Judiciários sendo acompanhados pelo Programa PAI-PJ (Programa de Atenção Integral ao Paciente Judiciário Portador de Sofrimento Mental) até 24 de dezembro de 2024.</w:t>
      </w:r>
      <w:r w:rsidRPr="00A12F6E">
        <w:rPr>
          <w:rFonts w:cstheme="minorHAnsi"/>
          <w:strike/>
          <w:szCs w:val="24"/>
        </w:rPr>
        <w:t xml:space="preserve"> </w:t>
      </w:r>
    </w:p>
    <w:p w:rsidR="00DA5ECD" w:rsidRPr="00A12F6E" w:rsidRDefault="00DA5ECD" w:rsidP="00DE6521">
      <w:pPr>
        <w:spacing w:after="0"/>
        <w:contextualSpacing/>
        <w:rPr>
          <w:rFonts w:cstheme="minorHAnsi"/>
          <w:szCs w:val="24"/>
        </w:rPr>
      </w:pPr>
      <w:r w:rsidRPr="00A12F6E">
        <w:rPr>
          <w:rFonts w:cstheme="minorHAnsi"/>
          <w:szCs w:val="24"/>
        </w:rPr>
        <w:t xml:space="preserve">Em Minas Gerais, 50 </w:t>
      </w:r>
      <w:proofErr w:type="spellStart"/>
      <w:r w:rsidRPr="00A12F6E">
        <w:rPr>
          <w:rFonts w:cstheme="minorHAnsi"/>
          <w:szCs w:val="24"/>
        </w:rPr>
        <w:t>APACs</w:t>
      </w:r>
      <w:proofErr w:type="spellEnd"/>
      <w:r w:rsidRPr="00A12F6E">
        <w:rPr>
          <w:rFonts w:cstheme="minorHAnsi"/>
          <w:szCs w:val="24"/>
        </w:rPr>
        <w:t xml:space="preserve"> estão em funcionamento, sendo 1 para o público juvenil e 49 para o público adulto, sendo neste caso 41 </w:t>
      </w:r>
      <w:proofErr w:type="spellStart"/>
      <w:r w:rsidRPr="00A12F6E">
        <w:rPr>
          <w:rFonts w:cstheme="minorHAnsi"/>
          <w:szCs w:val="24"/>
        </w:rPr>
        <w:t>APACs</w:t>
      </w:r>
      <w:proofErr w:type="spellEnd"/>
      <w:r w:rsidRPr="00A12F6E">
        <w:rPr>
          <w:rFonts w:cstheme="minorHAnsi"/>
          <w:szCs w:val="24"/>
        </w:rPr>
        <w:t xml:space="preserve"> para o público masculino e 8 para o público femi</w:t>
      </w:r>
      <w:r>
        <w:rPr>
          <w:rFonts w:cstheme="minorHAnsi"/>
          <w:szCs w:val="24"/>
        </w:rPr>
        <w:t>ni</w:t>
      </w:r>
      <w:r w:rsidRPr="00A12F6E">
        <w:rPr>
          <w:rFonts w:cstheme="minorHAnsi"/>
          <w:szCs w:val="24"/>
        </w:rPr>
        <w:t>no.</w:t>
      </w:r>
    </w:p>
    <w:p w:rsidR="00343AB0" w:rsidRDefault="00DA5ECD" w:rsidP="00343AB0">
      <w:pPr>
        <w:spacing w:after="0"/>
        <w:ind w:left="-3"/>
        <w:contextualSpacing/>
        <w:rPr>
          <w:rFonts w:cstheme="minorHAnsi"/>
          <w:szCs w:val="24"/>
        </w:rPr>
      </w:pPr>
      <w:r w:rsidRPr="00A12F6E">
        <w:rPr>
          <w:rFonts w:cstheme="minorHAnsi"/>
          <w:szCs w:val="24"/>
        </w:rPr>
        <w:t>Programa Fortalecimento das Políticas Judiciárias de melhoria do Sistema Prisional e do Sistema Socioeducativo.</w:t>
      </w:r>
    </w:p>
    <w:p w:rsidR="00DA7D89" w:rsidRPr="00DA7D89" w:rsidRDefault="00DA7D89" w:rsidP="00DA7D89">
      <w:pPr>
        <w:spacing w:before="0" w:after="0"/>
        <w:jc w:val="left"/>
        <w:rPr>
          <w:rFonts w:cstheme="minorHAnsi"/>
          <w:szCs w:val="24"/>
        </w:rPr>
      </w:pPr>
      <w:r w:rsidRPr="00DA5ECD">
        <w:rPr>
          <w:rFonts w:cstheme="minorHAnsi"/>
          <w:szCs w:val="24"/>
        </w:rPr>
        <w:t>[FINALIZAR_LISTA_MARCADORES]</w:t>
      </w:r>
    </w:p>
    <w:p w:rsidR="00DA5ECD" w:rsidRPr="0033000A" w:rsidRDefault="00E02364" w:rsidP="00DA5ECD">
      <w:pPr>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Ações do Núcleo de Voluntariado e Comitê Pop Rua/Jus</w:t>
      </w:r>
    </w:p>
    <w:p w:rsidR="00343AB0" w:rsidRDefault="00DA5ECD" w:rsidP="00343AB0">
      <w:pPr>
        <w:spacing w:after="0"/>
        <w:contextualSpacing/>
        <w:rPr>
          <w:rFonts w:cstheme="minorHAnsi"/>
          <w:szCs w:val="24"/>
        </w:rPr>
      </w:pPr>
      <w:r w:rsidRPr="00A12F6E">
        <w:rPr>
          <w:rFonts w:cstheme="minorHAnsi"/>
          <w:szCs w:val="24"/>
        </w:rPr>
        <w:t>29.480 pessoas foram beneficiadas, de janeiro a novembro de 2024, com ações do Núcleo de Voluntariado do TJMG em parceria com o Comitê Pop Rua/Jus:</w:t>
      </w:r>
    </w:p>
    <w:p w:rsidR="007B0BEF" w:rsidRDefault="007B0BEF" w:rsidP="007B0BEF">
      <w:pPr>
        <w:spacing w:after="0"/>
        <w:contextualSpacing/>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lastRenderedPageBreak/>
        <w:t xml:space="preserve">1.466 pessoas foram beneficiadas com as campanhas para as vítimas das chuvas. As doações foram destinadas para o projeto Sopão Solidário e para a campanha S.O.S chuva, realizada pelo Servas com a Cruz vermelha, Defesa Civil e Governo do Estado; </w:t>
      </w:r>
    </w:p>
    <w:p w:rsidR="00DA5ECD" w:rsidRPr="00A12F6E" w:rsidRDefault="00DA5ECD" w:rsidP="00DE6521">
      <w:pPr>
        <w:spacing w:after="0"/>
        <w:contextualSpacing/>
        <w:rPr>
          <w:rFonts w:cstheme="minorHAnsi"/>
          <w:szCs w:val="24"/>
        </w:rPr>
      </w:pPr>
      <w:r w:rsidRPr="00A12F6E">
        <w:rPr>
          <w:rFonts w:cstheme="minorHAnsi"/>
          <w:szCs w:val="24"/>
        </w:rPr>
        <w:t xml:space="preserve">108 pessoas foram beneficiadas com atendimentos jurídicos, assistenciais, beleza, alimentação, orientação psicológica e rodas de conversa; </w:t>
      </w:r>
    </w:p>
    <w:p w:rsidR="00DA5ECD" w:rsidRPr="00A12F6E" w:rsidRDefault="00DA5ECD" w:rsidP="00DE6521">
      <w:pPr>
        <w:spacing w:after="0"/>
        <w:contextualSpacing/>
        <w:rPr>
          <w:rFonts w:cstheme="minorHAnsi"/>
          <w:szCs w:val="24"/>
        </w:rPr>
      </w:pPr>
      <w:r w:rsidRPr="00A12F6E">
        <w:rPr>
          <w:rFonts w:cstheme="minorHAnsi"/>
          <w:szCs w:val="24"/>
        </w:rPr>
        <w:t xml:space="preserve">21 pessoas foram beneficiadas através do Programa Caminhos, com apoio do Núcleo de voluntariado, sendo 11 pessoas com visitas ao Museu do </w:t>
      </w:r>
      <w:proofErr w:type="spellStart"/>
      <w:r w:rsidRPr="00A12F6E">
        <w:rPr>
          <w:rFonts w:cstheme="minorHAnsi"/>
          <w:szCs w:val="24"/>
        </w:rPr>
        <w:t>Muquifo</w:t>
      </w:r>
      <w:proofErr w:type="spellEnd"/>
      <w:r w:rsidRPr="00A12F6E">
        <w:rPr>
          <w:rFonts w:cstheme="minorHAnsi"/>
          <w:szCs w:val="24"/>
        </w:rPr>
        <w:t xml:space="preserve"> e ao Parque da Serra do Curral, e 10 pessoas participaram da construção da obra de arte “A voz do Vale”, instalada na rotatória da rua Manuel Macedo – Bairro Lagoinha em Belo Horizonte. </w:t>
      </w:r>
    </w:p>
    <w:p w:rsidR="00DA5ECD" w:rsidRPr="00A12F6E" w:rsidRDefault="00DA5ECD" w:rsidP="00DE6521">
      <w:pPr>
        <w:spacing w:after="0"/>
        <w:contextualSpacing/>
        <w:rPr>
          <w:rFonts w:cstheme="minorHAnsi"/>
          <w:szCs w:val="24"/>
        </w:rPr>
      </w:pPr>
      <w:r w:rsidRPr="00A12F6E">
        <w:rPr>
          <w:rFonts w:cstheme="minorHAnsi"/>
          <w:szCs w:val="24"/>
        </w:rPr>
        <w:t>3.888 pessoas foram beneficiadas, no dia 15 de junho, com mais uma edição do Rua dos Direitos, disponibilizando diversos serviços gratuitos oferecidos no Centro de Referência das Juventudes de BH, com a distribuição de cafés da manhã, almoço, cobertores, peças de roupas, Kits de higiene pessoal contendo (papel higiênico, sabonetes, absorventes, desodorante);</w:t>
      </w:r>
    </w:p>
    <w:p w:rsidR="00DA5ECD" w:rsidRPr="00A12F6E" w:rsidRDefault="00DA5ECD" w:rsidP="00DE6521">
      <w:pPr>
        <w:spacing w:after="0"/>
        <w:contextualSpacing/>
        <w:rPr>
          <w:rFonts w:cstheme="minorHAnsi"/>
          <w:szCs w:val="24"/>
        </w:rPr>
      </w:pPr>
      <w:r w:rsidRPr="00A12F6E">
        <w:rPr>
          <w:rFonts w:cstheme="minorHAnsi"/>
          <w:szCs w:val="24"/>
        </w:rPr>
        <w:t>11.988 pessoas foram beneficiadas por meio da campanha para as vítimas das chuvas do Rio Grande do Sul, nos municípios de Porto Alegre, Alvorada, Canoas e Doutor Ricardo (as doações foram realizadas pelo público interno do TJMG, encaminhadas ao SERVAS, que enviou as doações à defesa Civil do Rio Grande do Sul;</w:t>
      </w:r>
    </w:p>
    <w:p w:rsidR="00DA5ECD" w:rsidRPr="00A12F6E" w:rsidRDefault="00DA5ECD" w:rsidP="00DE6521">
      <w:pPr>
        <w:spacing w:after="0"/>
        <w:contextualSpacing/>
        <w:rPr>
          <w:rFonts w:cstheme="minorHAnsi"/>
          <w:szCs w:val="24"/>
        </w:rPr>
      </w:pPr>
      <w:r w:rsidRPr="00A12F6E">
        <w:rPr>
          <w:rFonts w:cstheme="minorHAnsi"/>
          <w:szCs w:val="24"/>
        </w:rPr>
        <w:t xml:space="preserve">48 pessoas foram beneficiadas com arrecadação de roupas para o abrigo Granja de Freitas; </w:t>
      </w:r>
    </w:p>
    <w:p w:rsidR="00DA5ECD" w:rsidRPr="00A12F6E" w:rsidRDefault="00DA5ECD" w:rsidP="00DE6521">
      <w:pPr>
        <w:spacing w:after="0"/>
        <w:contextualSpacing/>
        <w:rPr>
          <w:rFonts w:cstheme="minorHAnsi"/>
          <w:szCs w:val="24"/>
        </w:rPr>
      </w:pPr>
      <w:r w:rsidRPr="00A12F6E">
        <w:rPr>
          <w:rFonts w:cstheme="minorHAnsi"/>
          <w:szCs w:val="24"/>
        </w:rPr>
        <w:t xml:space="preserve">4.818 atendimentos com a campanha Nacional de Registro Civil - Registre-se; </w:t>
      </w:r>
    </w:p>
    <w:p w:rsidR="00DA5ECD" w:rsidRPr="00A12F6E" w:rsidRDefault="00DA5ECD" w:rsidP="00DE6521">
      <w:pPr>
        <w:spacing w:after="0"/>
        <w:contextualSpacing/>
        <w:rPr>
          <w:rFonts w:cstheme="minorHAnsi"/>
          <w:szCs w:val="24"/>
        </w:rPr>
      </w:pPr>
      <w:r w:rsidRPr="00A12F6E">
        <w:rPr>
          <w:rFonts w:cstheme="minorHAnsi"/>
          <w:szCs w:val="24"/>
        </w:rPr>
        <w:t>3.000 cartilhas sobre Direitos das Pessoas em Situação de rua foram distribuídas;</w:t>
      </w:r>
    </w:p>
    <w:p w:rsidR="00DA5ECD" w:rsidRPr="00A12F6E" w:rsidRDefault="00DA5ECD" w:rsidP="00DE6521">
      <w:pPr>
        <w:spacing w:after="0"/>
        <w:contextualSpacing/>
        <w:rPr>
          <w:rFonts w:cstheme="minorHAnsi"/>
          <w:szCs w:val="24"/>
        </w:rPr>
      </w:pPr>
      <w:r w:rsidRPr="00A12F6E">
        <w:rPr>
          <w:rFonts w:cstheme="minorHAnsi"/>
          <w:szCs w:val="24"/>
        </w:rPr>
        <w:t>9 pessoas assistidas pelo INAPER visitaram o Museu Casa Kubitscheck;</w:t>
      </w:r>
    </w:p>
    <w:p w:rsidR="00DA5ECD" w:rsidRPr="00A12F6E" w:rsidRDefault="00DA5ECD" w:rsidP="00DE6521">
      <w:pPr>
        <w:spacing w:after="0"/>
        <w:contextualSpacing/>
        <w:rPr>
          <w:rFonts w:cstheme="minorHAnsi"/>
          <w:szCs w:val="24"/>
        </w:rPr>
      </w:pPr>
      <w:r w:rsidRPr="00A12F6E">
        <w:rPr>
          <w:rFonts w:cstheme="minorHAnsi"/>
          <w:szCs w:val="24"/>
        </w:rPr>
        <w:t>1.326 pessoas participaram do curso de atendimento humanizado;</w:t>
      </w:r>
    </w:p>
    <w:p w:rsidR="00DA5ECD" w:rsidRPr="00A12F6E" w:rsidRDefault="00DA5ECD" w:rsidP="00DE6521">
      <w:pPr>
        <w:spacing w:after="0"/>
        <w:contextualSpacing/>
        <w:rPr>
          <w:rFonts w:cstheme="minorHAnsi"/>
          <w:szCs w:val="24"/>
        </w:rPr>
      </w:pPr>
      <w:r w:rsidRPr="00A12F6E">
        <w:rPr>
          <w:rFonts w:cstheme="minorHAnsi"/>
          <w:szCs w:val="24"/>
        </w:rPr>
        <w:t xml:space="preserve">1.483 pessoas foram beneficiadas com a campanha de inverno; </w:t>
      </w:r>
    </w:p>
    <w:p w:rsidR="00DA5ECD" w:rsidRPr="00A12F6E" w:rsidRDefault="00DA5ECD" w:rsidP="00DE6521">
      <w:pPr>
        <w:spacing w:after="0"/>
        <w:contextualSpacing/>
        <w:rPr>
          <w:rFonts w:cstheme="minorHAnsi"/>
          <w:szCs w:val="24"/>
        </w:rPr>
      </w:pPr>
      <w:r w:rsidRPr="00A12F6E">
        <w:rPr>
          <w:rFonts w:cstheme="minorHAnsi"/>
          <w:szCs w:val="24"/>
        </w:rPr>
        <w:t>450 pessoas em ação de comemoração ao dia Nacional do Voluntariado, realizada junto à comunidade Renovada de Santo Antônio de Pádua (CRESAP);</w:t>
      </w:r>
    </w:p>
    <w:p w:rsidR="00DA5ECD" w:rsidRPr="00A12F6E" w:rsidRDefault="00DA5ECD" w:rsidP="00DE6521">
      <w:pPr>
        <w:spacing w:after="0"/>
        <w:contextualSpacing/>
        <w:rPr>
          <w:rFonts w:cstheme="minorHAnsi"/>
          <w:szCs w:val="24"/>
        </w:rPr>
      </w:pPr>
      <w:r w:rsidRPr="00A12F6E">
        <w:rPr>
          <w:rFonts w:cstheme="minorHAnsi"/>
          <w:szCs w:val="24"/>
        </w:rPr>
        <w:t>294 pessoas beneficiadas com o apoio à campanha VOLPMAPE (Voluntários do hospital Mário Pena) com doações de roupas ao Bazar do Bem;</w:t>
      </w:r>
    </w:p>
    <w:p w:rsidR="00DA5ECD" w:rsidRPr="00A12F6E" w:rsidRDefault="00DA5ECD" w:rsidP="00DE6521">
      <w:pPr>
        <w:spacing w:after="0"/>
        <w:contextualSpacing/>
        <w:rPr>
          <w:rFonts w:cstheme="minorHAnsi"/>
          <w:szCs w:val="24"/>
        </w:rPr>
      </w:pPr>
      <w:r w:rsidRPr="00A12F6E">
        <w:rPr>
          <w:rFonts w:cstheme="minorHAnsi"/>
          <w:szCs w:val="24"/>
        </w:rPr>
        <w:t>428 crianças beneficiadas com a campanha do dia das crianças;</w:t>
      </w:r>
    </w:p>
    <w:p w:rsidR="00DA5ECD" w:rsidRPr="00A12F6E" w:rsidRDefault="00DA5ECD" w:rsidP="00DE6521">
      <w:pPr>
        <w:spacing w:after="0"/>
        <w:contextualSpacing/>
        <w:rPr>
          <w:rFonts w:cstheme="minorHAnsi"/>
          <w:szCs w:val="24"/>
        </w:rPr>
      </w:pPr>
      <w:r w:rsidRPr="00A12F6E">
        <w:rPr>
          <w:rFonts w:cstheme="minorHAnsi"/>
          <w:szCs w:val="24"/>
        </w:rPr>
        <w:t xml:space="preserve">73 idosos beneficiados com diversas ações em comemoração ao mês do idoso. </w:t>
      </w:r>
    </w:p>
    <w:p w:rsidR="00DA5ECD" w:rsidRDefault="00DA5ECD" w:rsidP="00DE6521">
      <w:pPr>
        <w:spacing w:after="0"/>
        <w:contextualSpacing/>
        <w:rPr>
          <w:rFonts w:cstheme="minorHAnsi"/>
          <w:szCs w:val="24"/>
        </w:rPr>
      </w:pPr>
      <w:r w:rsidRPr="00A12F6E">
        <w:rPr>
          <w:rFonts w:cstheme="minorHAnsi"/>
          <w:szCs w:val="24"/>
        </w:rPr>
        <w:lastRenderedPageBreak/>
        <w:t>80 alunos da faculdade Milton Campos assistiram a palestra sobre conscientização e importância do voluntariado;</w:t>
      </w:r>
    </w:p>
    <w:p w:rsidR="00DA5ECD" w:rsidRPr="00A12F6E" w:rsidRDefault="00DA5ECD" w:rsidP="00DA5ECD">
      <w:pPr>
        <w:spacing w:before="0" w:after="0"/>
        <w:jc w:val="left"/>
        <w:rPr>
          <w:rFonts w:cstheme="minorHAnsi"/>
          <w:szCs w:val="24"/>
        </w:rPr>
      </w:pPr>
      <w:r w:rsidRPr="00DA5ECD">
        <w:rPr>
          <w:rFonts w:cstheme="minorHAnsi"/>
          <w:szCs w:val="24"/>
        </w:rPr>
        <w:t>[FINALIZAR_LISTA_MARCADORES]</w:t>
      </w:r>
    </w:p>
    <w:p w:rsidR="00DA5ECD" w:rsidRPr="00A12F6E" w:rsidRDefault="00DA5ECD" w:rsidP="00DA5ECD">
      <w:pPr>
        <w:spacing w:after="0"/>
        <w:contextualSpacing/>
        <w:rPr>
          <w:rFonts w:cstheme="minorHAnsi"/>
          <w:szCs w:val="24"/>
        </w:rPr>
      </w:pPr>
      <w:r w:rsidRPr="00A12F6E">
        <w:rPr>
          <w:rFonts w:cstheme="minorHAnsi"/>
          <w:szCs w:val="24"/>
        </w:rPr>
        <w:t xml:space="preserve">Obs.: 1. Instituições Parceiras do Rua de Direitos: TRE-MG, TRT3; TRF6; DPE; DPU; MPMG; Prefeitura de Belo Horizonte; Receita Federal; INSS; Polícia Civil; Polícia Militar; Corpo de Bombeiros; PRESP; UFMG; PUC Minas; Ciências Médicas; Faculdade Milton Campos; Faculdade Arnaldo; Centro Universitário Newton Paiva; Universidade </w:t>
      </w:r>
      <w:proofErr w:type="spellStart"/>
      <w:r w:rsidRPr="00A12F6E">
        <w:rPr>
          <w:rFonts w:cstheme="minorHAnsi"/>
          <w:szCs w:val="24"/>
        </w:rPr>
        <w:t>Fumec</w:t>
      </w:r>
      <w:proofErr w:type="spellEnd"/>
      <w:r w:rsidRPr="00A12F6E">
        <w:rPr>
          <w:rFonts w:cstheme="minorHAnsi"/>
          <w:szCs w:val="24"/>
        </w:rPr>
        <w:t xml:space="preserve">; Servas; </w:t>
      </w:r>
      <w:proofErr w:type="spellStart"/>
      <w:r w:rsidRPr="00A12F6E">
        <w:rPr>
          <w:rFonts w:cstheme="minorHAnsi"/>
          <w:szCs w:val="24"/>
        </w:rPr>
        <w:t>Recivil</w:t>
      </w:r>
      <w:proofErr w:type="spellEnd"/>
      <w:r w:rsidRPr="00A12F6E">
        <w:rPr>
          <w:rFonts w:cstheme="minorHAnsi"/>
          <w:szCs w:val="24"/>
        </w:rPr>
        <w:t xml:space="preserve">; Senac; Bicho da Gente; CRESAP; Instituto Wilson Chagas; PRODABEL; Movimento Nacional da População em Situação de Rua; INAPER; Pastoral de Rua da Arquidiocese de BH; Comitê Nacional Pop Rua Jud. </w:t>
      </w:r>
    </w:p>
    <w:p w:rsidR="00DA5ECD" w:rsidRPr="00A12F6E" w:rsidRDefault="00DA5ECD" w:rsidP="00DA5ECD">
      <w:pPr>
        <w:spacing w:after="0"/>
        <w:contextualSpacing/>
        <w:rPr>
          <w:rFonts w:cstheme="minorHAnsi"/>
          <w:szCs w:val="24"/>
        </w:rPr>
      </w:pPr>
      <w:r w:rsidRPr="00A12F6E">
        <w:rPr>
          <w:rFonts w:cstheme="minorHAnsi"/>
          <w:szCs w:val="24"/>
        </w:rPr>
        <w:t>Obs.: 2. A Campanha Nacional de Registro Civil – Registre-se, coordenada pela Corregedoria Estadual de Justiça, teve a participação das seguintes Instituições: TRE/MG; PBH; INSS; Receita Federal; DPMG; DPU; MPMG; Polícia Civil de Minas Gerais, OAB - Seção Minas Gerais.</w:t>
      </w:r>
    </w:p>
    <w:p w:rsidR="00DA5ECD" w:rsidRPr="00A12F6E" w:rsidRDefault="00DA5ECD" w:rsidP="00DA5ECD">
      <w:pPr>
        <w:spacing w:after="0"/>
        <w:contextualSpacing/>
        <w:rPr>
          <w:rFonts w:cstheme="minorHAnsi"/>
          <w:szCs w:val="24"/>
        </w:rPr>
      </w:pPr>
    </w:p>
    <w:p w:rsidR="00DA5ECD" w:rsidRPr="0033000A" w:rsidRDefault="00E02364" w:rsidP="00DA5ECD">
      <w:pPr>
        <w:spacing w:after="0"/>
        <w:contextualSpacing/>
        <w:rPr>
          <w:rFonts w:cstheme="minorHAnsi"/>
          <w:color w:val="A21612"/>
          <w:szCs w:val="24"/>
          <w:u w:val="single"/>
        </w:rPr>
      </w:pPr>
      <w:r>
        <w:rPr>
          <w:rFonts w:cstheme="minorHAnsi"/>
          <w:b/>
          <w:color w:val="A21612"/>
          <w:szCs w:val="24"/>
        </w:rPr>
        <w:t xml:space="preserve"># </w:t>
      </w:r>
      <w:r w:rsidR="00DA5ECD" w:rsidRPr="0033000A">
        <w:rPr>
          <w:rFonts w:cstheme="minorHAnsi"/>
          <w:b/>
          <w:color w:val="A21612"/>
          <w:szCs w:val="24"/>
        </w:rPr>
        <w:t>Ações e projetos da COINJ</w:t>
      </w:r>
    </w:p>
    <w:p w:rsidR="00DA5ECD" w:rsidRDefault="00DA5ECD" w:rsidP="00DA5ECD">
      <w:pPr>
        <w:spacing w:after="0"/>
        <w:contextualSpacing/>
        <w:rPr>
          <w:rFonts w:cstheme="minorHAnsi"/>
          <w:szCs w:val="24"/>
        </w:rPr>
      </w:pPr>
      <w:r w:rsidRPr="00A12F6E">
        <w:rPr>
          <w:rFonts w:cstheme="minorHAnsi"/>
          <w:szCs w:val="24"/>
        </w:rPr>
        <w:t xml:space="preserve">810 crianças beneficiadas com as campanhas de apadrinhamento até 31/05/2024, sendo: </w:t>
      </w:r>
    </w:p>
    <w:p w:rsidR="00DA5ECD" w:rsidRPr="00A12F6E"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t>290 crianças atendidas pelo apadrinhamento do tipo "Afetivo";</w:t>
      </w:r>
    </w:p>
    <w:p w:rsidR="00DA5ECD" w:rsidRPr="00A12F6E" w:rsidRDefault="00DA5ECD" w:rsidP="00DE6521">
      <w:pPr>
        <w:spacing w:after="0"/>
        <w:contextualSpacing/>
        <w:rPr>
          <w:rFonts w:cstheme="minorHAnsi"/>
          <w:szCs w:val="24"/>
        </w:rPr>
      </w:pPr>
      <w:r w:rsidRPr="00A12F6E">
        <w:rPr>
          <w:rFonts w:cstheme="minorHAnsi"/>
          <w:szCs w:val="24"/>
        </w:rPr>
        <w:t>339 pelo apadrinhamento do tipo "Prestador de Serviço”;</w:t>
      </w:r>
    </w:p>
    <w:p w:rsidR="00DA5ECD" w:rsidRPr="00A12F6E" w:rsidRDefault="00DA5ECD" w:rsidP="00DE6521">
      <w:pPr>
        <w:spacing w:after="0"/>
        <w:contextualSpacing/>
        <w:rPr>
          <w:rFonts w:cstheme="minorHAnsi"/>
          <w:szCs w:val="24"/>
        </w:rPr>
      </w:pPr>
      <w:r w:rsidRPr="00A12F6E">
        <w:rPr>
          <w:rFonts w:cstheme="minorHAnsi"/>
          <w:szCs w:val="24"/>
        </w:rPr>
        <w:t>181 crianças atendidas pelo tipo "Provedor”.</w:t>
      </w:r>
    </w:p>
    <w:p w:rsidR="00DA5ECD" w:rsidRPr="00A12F6E" w:rsidRDefault="00DA5ECD" w:rsidP="00DA5ECD">
      <w:pPr>
        <w:spacing w:before="0" w:after="0"/>
        <w:jc w:val="left"/>
        <w:rPr>
          <w:rFonts w:cstheme="minorHAnsi"/>
          <w:szCs w:val="24"/>
        </w:rPr>
      </w:pPr>
      <w:r w:rsidRPr="00DA5ECD">
        <w:rPr>
          <w:rFonts w:cstheme="minorHAnsi"/>
          <w:szCs w:val="24"/>
        </w:rPr>
        <w:t>[FINALIZAR_LISTA_MARCADORES]</w:t>
      </w:r>
    </w:p>
    <w:p w:rsidR="00DA5ECD" w:rsidRDefault="00E02364" w:rsidP="00DA5ECD">
      <w:pPr>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Ações e projetos da COMSIV</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t xml:space="preserve">Em 2024, foram realizadas três Campanhas Justiça pela Paz em Casa; </w:t>
      </w:r>
    </w:p>
    <w:p w:rsidR="00DA5ECD" w:rsidRPr="00A12F6E" w:rsidRDefault="00DA5ECD" w:rsidP="00DE6521">
      <w:pPr>
        <w:spacing w:after="0"/>
        <w:contextualSpacing/>
        <w:rPr>
          <w:rFonts w:cstheme="minorHAnsi"/>
          <w:szCs w:val="24"/>
        </w:rPr>
      </w:pPr>
      <w:r w:rsidRPr="00A12F6E">
        <w:rPr>
          <w:rFonts w:cstheme="minorHAnsi"/>
          <w:szCs w:val="24"/>
        </w:rPr>
        <w:t xml:space="preserve">Realização do 3º encontro regional Justiça em Rede, que reuniu 200 participantes. </w:t>
      </w:r>
    </w:p>
    <w:p w:rsidR="00DA5ECD" w:rsidRPr="00A12F6E" w:rsidRDefault="00DA5ECD" w:rsidP="00DE6521">
      <w:pPr>
        <w:spacing w:after="0"/>
        <w:contextualSpacing/>
        <w:rPr>
          <w:rFonts w:cstheme="minorHAnsi"/>
          <w:szCs w:val="24"/>
        </w:rPr>
      </w:pPr>
      <w:r w:rsidRPr="00A12F6E">
        <w:rPr>
          <w:rFonts w:cstheme="minorHAnsi"/>
          <w:szCs w:val="24"/>
        </w:rPr>
        <w:t>lançamento do livro “Reflexões para o Ensino do Holocausto”, em colaboração com o Núcleo Anne Frank, evento que atraiu 500 participantes.</w:t>
      </w:r>
    </w:p>
    <w:p w:rsidR="00DA5ECD" w:rsidRPr="00A12F6E" w:rsidRDefault="00DA5ECD" w:rsidP="00DE6521">
      <w:pPr>
        <w:spacing w:after="0"/>
        <w:contextualSpacing/>
        <w:rPr>
          <w:rFonts w:cstheme="minorHAnsi"/>
          <w:szCs w:val="24"/>
        </w:rPr>
      </w:pPr>
      <w:r w:rsidRPr="00A12F6E">
        <w:rPr>
          <w:rFonts w:cstheme="minorHAnsi"/>
          <w:szCs w:val="24"/>
        </w:rPr>
        <w:t xml:space="preserve">No período compreendido entre janeiro a setembro de 2024, foram realizadas 6 palestras, no âmbito do projeto “Construindo Igualdades”, resultando no alcance de 337 trabalhadores. </w:t>
      </w:r>
    </w:p>
    <w:p w:rsidR="00DA5ECD" w:rsidRPr="00A12F6E" w:rsidRDefault="00DA5ECD" w:rsidP="00DE6521">
      <w:pPr>
        <w:spacing w:after="0"/>
        <w:contextualSpacing/>
        <w:rPr>
          <w:rFonts w:cstheme="minorHAnsi"/>
          <w:szCs w:val="24"/>
        </w:rPr>
      </w:pPr>
      <w:r w:rsidRPr="00A12F6E">
        <w:rPr>
          <w:rFonts w:cstheme="minorHAnsi"/>
          <w:szCs w:val="24"/>
        </w:rPr>
        <w:lastRenderedPageBreak/>
        <w:t>No período compreendido entre janeiro a setembro de 2024, foram conduzidas 4 visitas, por meio do projeto “Justiça Vai à Escola, resultando no alcance de aproximadamente 400 alunos.</w:t>
      </w:r>
    </w:p>
    <w:p w:rsidR="00DA5ECD" w:rsidRPr="00A12F6E" w:rsidRDefault="00DA5ECD" w:rsidP="00DE6521">
      <w:pPr>
        <w:spacing w:after="0"/>
        <w:contextualSpacing/>
        <w:rPr>
          <w:rFonts w:cstheme="minorHAnsi"/>
          <w:szCs w:val="24"/>
        </w:rPr>
      </w:pPr>
      <w:r w:rsidRPr="00A12F6E">
        <w:rPr>
          <w:rFonts w:cstheme="minorHAnsi"/>
          <w:szCs w:val="24"/>
        </w:rPr>
        <w:t xml:space="preserve">Realização, em novembro de 2024, do </w:t>
      </w:r>
      <w:proofErr w:type="spellStart"/>
      <w:r w:rsidRPr="00A12F6E">
        <w:rPr>
          <w:rFonts w:cstheme="minorHAnsi"/>
          <w:szCs w:val="24"/>
        </w:rPr>
        <w:t>webinário</w:t>
      </w:r>
      <w:proofErr w:type="spellEnd"/>
      <w:r w:rsidRPr="00A12F6E">
        <w:rPr>
          <w:rFonts w:cstheme="minorHAnsi"/>
          <w:szCs w:val="24"/>
        </w:rPr>
        <w:t xml:space="preserve"> sobre Justiça e Equidade Racial. </w:t>
      </w:r>
    </w:p>
    <w:p w:rsidR="00DA5ECD" w:rsidRDefault="00DA5ECD" w:rsidP="00DE6521">
      <w:pPr>
        <w:spacing w:after="0"/>
        <w:contextualSpacing/>
        <w:rPr>
          <w:rFonts w:cstheme="minorHAnsi"/>
          <w:szCs w:val="24"/>
        </w:rPr>
      </w:pPr>
      <w:r w:rsidRPr="00A12F6E">
        <w:rPr>
          <w:rFonts w:cstheme="minorHAnsi"/>
          <w:szCs w:val="24"/>
        </w:rPr>
        <w:t xml:space="preserve">Ações de Prevenção à Violência Contra a Mulher; </w:t>
      </w:r>
    </w:p>
    <w:p w:rsidR="00DA5ECD" w:rsidRPr="00A12F6E" w:rsidRDefault="00DA5ECD" w:rsidP="00DA5ECD">
      <w:pPr>
        <w:spacing w:before="0" w:after="0"/>
        <w:jc w:val="left"/>
        <w:rPr>
          <w:rFonts w:cstheme="minorHAnsi"/>
          <w:szCs w:val="24"/>
        </w:rPr>
      </w:pPr>
      <w:r w:rsidRPr="00DA5ECD">
        <w:rPr>
          <w:rFonts w:cstheme="minorHAnsi"/>
          <w:szCs w:val="24"/>
        </w:rPr>
        <w:t>[FINALIZAR_LISTA_MARCADORES]</w:t>
      </w:r>
    </w:p>
    <w:p w:rsidR="00DA5ECD" w:rsidRDefault="00DA5ECD" w:rsidP="00DA5ECD">
      <w:pPr>
        <w:spacing w:after="0"/>
        <w:contextualSpacing/>
        <w:rPr>
          <w:rFonts w:cstheme="minorHAnsi"/>
          <w:b/>
          <w:szCs w:val="24"/>
        </w:rPr>
      </w:pPr>
    </w:p>
    <w:p w:rsidR="00DA5ECD" w:rsidRPr="0033000A" w:rsidRDefault="00E02364" w:rsidP="00DA5ECD">
      <w:pPr>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Ações e projetos da 3ª Vice-Presidência:</w:t>
      </w:r>
    </w:p>
    <w:p w:rsidR="00DA5ECD" w:rsidRDefault="00E02364" w:rsidP="00DA5ECD">
      <w:pPr>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Paternidade para todos</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Default="00DA5ECD" w:rsidP="00DE6521">
      <w:pPr>
        <w:spacing w:after="0"/>
        <w:contextualSpacing/>
        <w:rPr>
          <w:rFonts w:cstheme="minorHAnsi"/>
          <w:szCs w:val="24"/>
        </w:rPr>
      </w:pPr>
      <w:r w:rsidRPr="00A12F6E">
        <w:rPr>
          <w:rFonts w:cstheme="minorHAnsi"/>
          <w:szCs w:val="24"/>
        </w:rPr>
        <w:t xml:space="preserve">573 exames de </w:t>
      </w:r>
      <w:proofErr w:type="spellStart"/>
      <w:r w:rsidRPr="00A12F6E">
        <w:rPr>
          <w:rFonts w:cstheme="minorHAnsi"/>
          <w:szCs w:val="24"/>
        </w:rPr>
        <w:t>DNAs</w:t>
      </w:r>
      <w:proofErr w:type="spellEnd"/>
      <w:r w:rsidRPr="00A12F6E">
        <w:rPr>
          <w:rFonts w:cstheme="minorHAnsi"/>
          <w:szCs w:val="24"/>
        </w:rPr>
        <w:t xml:space="preserve"> realizados, em 2024</w:t>
      </w:r>
      <w:r>
        <w:rPr>
          <w:rFonts w:cstheme="minorHAnsi"/>
          <w:szCs w:val="24"/>
        </w:rPr>
        <w:t>.</w:t>
      </w:r>
    </w:p>
    <w:p w:rsidR="00DA5ECD" w:rsidRPr="00A12F6E" w:rsidRDefault="00DA5ECD" w:rsidP="00DA5ECD">
      <w:pPr>
        <w:spacing w:before="0" w:after="0"/>
        <w:jc w:val="left"/>
        <w:rPr>
          <w:rFonts w:cstheme="minorHAnsi"/>
          <w:szCs w:val="24"/>
        </w:rPr>
      </w:pPr>
      <w:r w:rsidRPr="00DA5ECD">
        <w:rPr>
          <w:rFonts w:cstheme="minorHAnsi"/>
          <w:szCs w:val="24"/>
        </w:rPr>
        <w:t>[FINALIZAR_LISTA_MARCADORES]</w:t>
      </w:r>
    </w:p>
    <w:p w:rsidR="00DA5ECD" w:rsidRPr="00A12F6E" w:rsidRDefault="00DA5ECD" w:rsidP="00DA5ECD">
      <w:pPr>
        <w:spacing w:after="0"/>
        <w:contextualSpacing/>
        <w:rPr>
          <w:rFonts w:cstheme="minorHAnsi"/>
          <w:b/>
          <w:szCs w:val="24"/>
        </w:rPr>
      </w:pPr>
    </w:p>
    <w:p w:rsidR="00DA5ECD" w:rsidRDefault="00E02364" w:rsidP="00DA5ECD">
      <w:pPr>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 xml:space="preserve">Conciliação em domicílio </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t xml:space="preserve">Em 2024, os oficiais de justiça cadastrados atuaram em 31 processos dos quais 29 resultaram em acordos; </w:t>
      </w:r>
    </w:p>
    <w:p w:rsidR="00DA5ECD" w:rsidRPr="00DE6521" w:rsidRDefault="00DA5ECD" w:rsidP="00DE6521">
      <w:pPr>
        <w:spacing w:after="0"/>
        <w:contextualSpacing/>
        <w:rPr>
          <w:rFonts w:cstheme="minorHAnsi"/>
          <w:szCs w:val="24"/>
        </w:rPr>
      </w:pPr>
      <w:r w:rsidRPr="00A12F6E">
        <w:rPr>
          <w:rFonts w:cstheme="minorHAnsi"/>
          <w:szCs w:val="24"/>
        </w:rPr>
        <w:t xml:space="preserve">Em 2024, foram abertas duas novas turmas do curso “Ferramentas </w:t>
      </w:r>
      <w:proofErr w:type="spellStart"/>
      <w:r w:rsidRPr="00A12F6E">
        <w:rPr>
          <w:rFonts w:cstheme="minorHAnsi"/>
          <w:szCs w:val="24"/>
        </w:rPr>
        <w:t>autocompositivas</w:t>
      </w:r>
      <w:proofErr w:type="spellEnd"/>
      <w:r w:rsidRPr="00A12F6E">
        <w:rPr>
          <w:rFonts w:cstheme="minorHAnsi"/>
          <w:szCs w:val="24"/>
        </w:rPr>
        <w:t xml:space="preserve"> para </w:t>
      </w:r>
      <w:proofErr w:type="spellStart"/>
      <w:r w:rsidRPr="00A12F6E">
        <w:rPr>
          <w:rFonts w:cstheme="minorHAnsi"/>
          <w:szCs w:val="24"/>
        </w:rPr>
        <w:t>Oficialas</w:t>
      </w:r>
      <w:proofErr w:type="spellEnd"/>
      <w:r w:rsidRPr="00A12F6E">
        <w:rPr>
          <w:rFonts w:cstheme="minorHAnsi"/>
          <w:szCs w:val="24"/>
        </w:rPr>
        <w:t xml:space="preserve"> e Oficiais de Justiça”:</w:t>
      </w:r>
      <w:r w:rsidR="00523927">
        <w:rPr>
          <w:rFonts w:cstheme="minorHAnsi"/>
          <w:szCs w:val="24"/>
        </w:rPr>
        <w:br/>
      </w:r>
      <w:r w:rsidRPr="00DE6521">
        <w:rPr>
          <w:rFonts w:cstheme="minorHAnsi"/>
          <w:szCs w:val="24"/>
        </w:rPr>
        <w:t>11/04 a 27/06/2024: 304 matriculados e 211 aprovados;</w:t>
      </w:r>
      <w:r w:rsidR="00523927">
        <w:rPr>
          <w:rFonts w:cstheme="minorHAnsi"/>
          <w:szCs w:val="24"/>
        </w:rPr>
        <w:br/>
      </w:r>
      <w:r w:rsidRPr="00DE6521">
        <w:rPr>
          <w:rFonts w:cstheme="minorHAnsi"/>
          <w:szCs w:val="24"/>
        </w:rPr>
        <w:t>16/07 a 06/12/2024: 185 matriculados e 102 aprovados.</w:t>
      </w:r>
    </w:p>
    <w:p w:rsidR="00DA5ECD" w:rsidRPr="00A12F6E" w:rsidRDefault="00DA5ECD" w:rsidP="00DA5ECD">
      <w:pPr>
        <w:spacing w:before="0" w:after="0"/>
        <w:contextualSpacing/>
        <w:jc w:val="left"/>
        <w:rPr>
          <w:rFonts w:cstheme="minorHAnsi"/>
          <w:szCs w:val="24"/>
        </w:rPr>
      </w:pPr>
      <w:r w:rsidRPr="00786278">
        <w:rPr>
          <w:rFonts w:cstheme="minorHAnsi"/>
          <w:szCs w:val="24"/>
        </w:rPr>
        <w:t>[FINALIZAR_LISTA_MARCADORES]</w:t>
      </w:r>
    </w:p>
    <w:p w:rsidR="00DA5ECD" w:rsidRDefault="00DA5ECD" w:rsidP="00DA5ECD">
      <w:pPr>
        <w:tabs>
          <w:tab w:val="num" w:pos="1440"/>
        </w:tabs>
        <w:spacing w:after="0"/>
        <w:contextualSpacing/>
        <w:rPr>
          <w:rFonts w:cstheme="minorHAnsi"/>
          <w:b/>
          <w:szCs w:val="24"/>
        </w:rPr>
      </w:pPr>
    </w:p>
    <w:p w:rsidR="00DA5ECD" w:rsidRDefault="00E02364" w:rsidP="00DA5ECD">
      <w:pPr>
        <w:tabs>
          <w:tab w:val="num" w:pos="1440"/>
        </w:tabs>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 xml:space="preserve">Justiça Itinerante </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tabs>
          <w:tab w:val="num" w:pos="1440"/>
        </w:tabs>
        <w:spacing w:after="0"/>
        <w:contextualSpacing/>
        <w:rPr>
          <w:rFonts w:cstheme="minorHAnsi"/>
          <w:szCs w:val="24"/>
        </w:rPr>
      </w:pPr>
      <w:r w:rsidRPr="00A12F6E">
        <w:rPr>
          <w:rFonts w:cstheme="minorHAnsi"/>
          <w:szCs w:val="24"/>
        </w:rPr>
        <w:t>801 audiências agendadas, 444 audiências realizadas, 255 acordos e 522 atos diversos (encaminhamentos, nomeação de dativos, comparecimento mensal SUSI)</w:t>
      </w:r>
      <w:r>
        <w:rPr>
          <w:rFonts w:cstheme="minorHAnsi"/>
          <w:szCs w:val="24"/>
        </w:rPr>
        <w:t>;</w:t>
      </w:r>
    </w:p>
    <w:p w:rsidR="00DA5ECD" w:rsidRPr="00A12F6E" w:rsidRDefault="00DA5ECD" w:rsidP="00DE6521">
      <w:pPr>
        <w:tabs>
          <w:tab w:val="num" w:pos="1440"/>
        </w:tabs>
        <w:spacing w:after="0"/>
        <w:contextualSpacing/>
        <w:rPr>
          <w:rFonts w:cstheme="minorHAnsi"/>
          <w:szCs w:val="24"/>
        </w:rPr>
      </w:pPr>
      <w:r w:rsidRPr="00A12F6E">
        <w:rPr>
          <w:rFonts w:cstheme="minorHAnsi"/>
          <w:szCs w:val="24"/>
        </w:rPr>
        <w:t>19 convênios de Justiça Itinerante vigentes em 13 comarcas, beneficiando 19 municípios</w:t>
      </w:r>
      <w:r>
        <w:rPr>
          <w:rFonts w:cstheme="minorHAnsi"/>
          <w:szCs w:val="24"/>
        </w:rPr>
        <w:t>.</w:t>
      </w:r>
    </w:p>
    <w:p w:rsidR="00DA5ECD" w:rsidRPr="00DA5ECD" w:rsidRDefault="00DA5ECD" w:rsidP="00DA5ECD">
      <w:pPr>
        <w:spacing w:before="0" w:after="0"/>
        <w:jc w:val="left"/>
        <w:rPr>
          <w:rFonts w:cstheme="minorHAnsi"/>
          <w:szCs w:val="24"/>
        </w:rPr>
      </w:pPr>
      <w:r w:rsidRPr="00DA5ECD">
        <w:rPr>
          <w:rFonts w:cstheme="minorHAnsi"/>
          <w:szCs w:val="24"/>
        </w:rPr>
        <w:t>[FINALIZAR_LISTA_MARCADORES]</w:t>
      </w:r>
    </w:p>
    <w:p w:rsidR="00DA5ECD" w:rsidRDefault="00C3480A" w:rsidP="00DA5ECD">
      <w:pPr>
        <w:tabs>
          <w:tab w:val="num" w:pos="1440"/>
        </w:tabs>
        <w:spacing w:after="0"/>
        <w:contextualSpacing/>
        <w:rPr>
          <w:rFonts w:cstheme="minorHAnsi"/>
          <w:b/>
          <w:color w:val="A21612"/>
          <w:szCs w:val="24"/>
        </w:rPr>
      </w:pPr>
      <w:r>
        <w:rPr>
          <w:rFonts w:cstheme="minorHAnsi"/>
          <w:b/>
          <w:color w:val="A21612"/>
          <w:szCs w:val="24"/>
        </w:rPr>
        <w:t xml:space="preserve"># </w:t>
      </w:r>
      <w:proofErr w:type="spellStart"/>
      <w:r w:rsidR="00DA5ECD" w:rsidRPr="0033000A">
        <w:rPr>
          <w:rFonts w:cstheme="minorHAnsi"/>
          <w:b/>
          <w:color w:val="A21612"/>
          <w:szCs w:val="24"/>
        </w:rPr>
        <w:t>Cejusc</w:t>
      </w:r>
      <w:proofErr w:type="spellEnd"/>
      <w:r w:rsidR="00DA5ECD" w:rsidRPr="0033000A">
        <w:rPr>
          <w:rFonts w:cstheme="minorHAnsi"/>
          <w:b/>
          <w:color w:val="A21612"/>
          <w:szCs w:val="24"/>
        </w:rPr>
        <w:t xml:space="preserve"> Itinerante (cronograma próprio)</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lastRenderedPageBreak/>
        <w:t xml:space="preserve">16 </w:t>
      </w:r>
      <w:proofErr w:type="spellStart"/>
      <w:r w:rsidRPr="00A12F6E">
        <w:rPr>
          <w:rFonts w:cstheme="minorHAnsi"/>
          <w:szCs w:val="24"/>
        </w:rPr>
        <w:t>itinerâncias</w:t>
      </w:r>
      <w:proofErr w:type="spellEnd"/>
      <w:r w:rsidRPr="00A12F6E">
        <w:rPr>
          <w:rFonts w:cstheme="minorHAnsi"/>
          <w:szCs w:val="24"/>
        </w:rPr>
        <w:t xml:space="preserve"> do cronograma próprio em 11 comarcas, beneficiando 13 municípios; </w:t>
      </w:r>
    </w:p>
    <w:p w:rsidR="00DA5ECD" w:rsidRPr="00A12F6E" w:rsidRDefault="00DA5ECD" w:rsidP="00DE6521">
      <w:pPr>
        <w:spacing w:after="0"/>
        <w:contextualSpacing/>
        <w:rPr>
          <w:rFonts w:cstheme="minorHAnsi"/>
          <w:szCs w:val="24"/>
        </w:rPr>
      </w:pPr>
      <w:r w:rsidRPr="00A12F6E">
        <w:rPr>
          <w:rFonts w:cstheme="minorHAnsi"/>
          <w:szCs w:val="24"/>
        </w:rPr>
        <w:t>123 sessões de conciliação e mediação agendadas, das quais 81 foram realizadas e 36 acordos foram celebrados.</w:t>
      </w:r>
    </w:p>
    <w:p w:rsidR="00DA5ECD" w:rsidRPr="00A12F6E" w:rsidRDefault="00DA5ECD" w:rsidP="00DE6521">
      <w:pPr>
        <w:spacing w:after="0"/>
        <w:contextualSpacing/>
        <w:rPr>
          <w:rFonts w:cstheme="minorHAnsi"/>
          <w:szCs w:val="24"/>
        </w:rPr>
      </w:pPr>
      <w:r w:rsidRPr="00A12F6E">
        <w:rPr>
          <w:rFonts w:cstheme="minorHAnsi"/>
          <w:szCs w:val="24"/>
        </w:rPr>
        <w:t xml:space="preserve">800 serviços de cidadania; </w:t>
      </w:r>
    </w:p>
    <w:p w:rsidR="00DA5ECD" w:rsidRPr="00A12F6E" w:rsidRDefault="00DA5ECD" w:rsidP="00DE6521">
      <w:pPr>
        <w:spacing w:after="0"/>
        <w:contextualSpacing/>
        <w:rPr>
          <w:rFonts w:cstheme="minorHAnsi"/>
          <w:szCs w:val="24"/>
        </w:rPr>
      </w:pPr>
      <w:r w:rsidRPr="00A12F6E">
        <w:rPr>
          <w:rFonts w:cstheme="minorHAnsi"/>
          <w:szCs w:val="24"/>
        </w:rPr>
        <w:t xml:space="preserve">331 casamentos comunitários realizados. </w:t>
      </w:r>
    </w:p>
    <w:p w:rsidR="00DA5ECD" w:rsidRPr="00DA5ECD" w:rsidRDefault="00DA5ECD" w:rsidP="00DA5ECD">
      <w:pPr>
        <w:spacing w:before="0" w:after="0"/>
        <w:jc w:val="left"/>
        <w:rPr>
          <w:rFonts w:cstheme="minorHAnsi"/>
          <w:szCs w:val="24"/>
        </w:rPr>
      </w:pPr>
      <w:r w:rsidRPr="00DA5ECD">
        <w:rPr>
          <w:rFonts w:cstheme="minorHAnsi"/>
          <w:szCs w:val="24"/>
        </w:rPr>
        <w:t>[FINALIZAR_LISTA_MARCADORES]</w:t>
      </w:r>
    </w:p>
    <w:p w:rsidR="00DA5ECD" w:rsidRDefault="00C3480A" w:rsidP="00DA5ECD">
      <w:pPr>
        <w:tabs>
          <w:tab w:val="num" w:pos="1440"/>
        </w:tabs>
        <w:spacing w:after="0"/>
        <w:contextualSpacing/>
        <w:rPr>
          <w:rFonts w:cstheme="minorHAnsi"/>
          <w:b/>
          <w:color w:val="A21612"/>
          <w:szCs w:val="24"/>
        </w:rPr>
      </w:pPr>
      <w:r>
        <w:rPr>
          <w:rFonts w:cstheme="minorHAnsi"/>
          <w:b/>
          <w:color w:val="A21612"/>
          <w:szCs w:val="24"/>
        </w:rPr>
        <w:t xml:space="preserve"># </w:t>
      </w:r>
      <w:proofErr w:type="spellStart"/>
      <w:r w:rsidR="00DA5ECD" w:rsidRPr="0033000A">
        <w:rPr>
          <w:rFonts w:cstheme="minorHAnsi"/>
          <w:b/>
          <w:color w:val="A21612"/>
          <w:szCs w:val="24"/>
        </w:rPr>
        <w:t>Cejusc</w:t>
      </w:r>
      <w:proofErr w:type="spellEnd"/>
      <w:r w:rsidR="00DA5ECD" w:rsidRPr="0033000A">
        <w:rPr>
          <w:rFonts w:cstheme="minorHAnsi"/>
          <w:b/>
          <w:color w:val="A21612"/>
          <w:szCs w:val="24"/>
        </w:rPr>
        <w:t xml:space="preserve"> Itinerante (Ministério Público)</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t xml:space="preserve">37 </w:t>
      </w:r>
      <w:proofErr w:type="spellStart"/>
      <w:r w:rsidRPr="00A12F6E">
        <w:rPr>
          <w:rFonts w:cstheme="minorHAnsi"/>
          <w:szCs w:val="24"/>
        </w:rPr>
        <w:t>itinerâncias</w:t>
      </w:r>
      <w:proofErr w:type="spellEnd"/>
      <w:r w:rsidRPr="00A12F6E">
        <w:rPr>
          <w:rFonts w:cstheme="minorHAnsi"/>
          <w:szCs w:val="24"/>
        </w:rPr>
        <w:t xml:space="preserve"> em parceria com o Ministério Público em 20 comarcas diferentes, atendendo a 36 municípios;</w:t>
      </w:r>
    </w:p>
    <w:p w:rsidR="00DA5ECD" w:rsidRPr="00A12F6E" w:rsidRDefault="00DA5ECD" w:rsidP="00DE6521">
      <w:pPr>
        <w:spacing w:after="0"/>
        <w:contextualSpacing/>
        <w:rPr>
          <w:rFonts w:cstheme="minorHAnsi"/>
          <w:szCs w:val="24"/>
        </w:rPr>
      </w:pPr>
      <w:r w:rsidRPr="00A12F6E">
        <w:rPr>
          <w:rFonts w:cstheme="minorHAnsi"/>
          <w:szCs w:val="24"/>
        </w:rPr>
        <w:t>280 sessões de conciliação e mediação agendadas, das quais 244 foram realizadas e 185 acordos foram celebrados;</w:t>
      </w:r>
    </w:p>
    <w:p w:rsidR="00DA5ECD" w:rsidRPr="00A12F6E" w:rsidRDefault="00DA5ECD" w:rsidP="00DE6521">
      <w:pPr>
        <w:spacing w:after="0"/>
        <w:contextualSpacing/>
        <w:rPr>
          <w:rFonts w:cstheme="minorHAnsi"/>
          <w:szCs w:val="24"/>
        </w:rPr>
      </w:pPr>
      <w:r w:rsidRPr="00A12F6E">
        <w:rPr>
          <w:rFonts w:cstheme="minorHAnsi"/>
          <w:szCs w:val="24"/>
        </w:rPr>
        <w:t xml:space="preserve">1.654 serviços de cidadania; </w:t>
      </w:r>
    </w:p>
    <w:p w:rsidR="00DA5ECD" w:rsidRPr="00A12F6E" w:rsidRDefault="00DA5ECD" w:rsidP="00DE6521">
      <w:pPr>
        <w:spacing w:after="0"/>
        <w:contextualSpacing/>
        <w:rPr>
          <w:rFonts w:cstheme="minorHAnsi"/>
          <w:szCs w:val="24"/>
        </w:rPr>
      </w:pPr>
      <w:r w:rsidRPr="00A12F6E">
        <w:rPr>
          <w:rFonts w:cstheme="minorHAnsi"/>
          <w:szCs w:val="24"/>
        </w:rPr>
        <w:t xml:space="preserve">47 casamentos comunitários realizados. </w:t>
      </w:r>
    </w:p>
    <w:p w:rsidR="00DA5ECD" w:rsidRPr="00DA5ECD" w:rsidRDefault="00DA5ECD" w:rsidP="00DA5ECD">
      <w:pPr>
        <w:spacing w:before="0" w:after="0"/>
        <w:jc w:val="left"/>
        <w:rPr>
          <w:rFonts w:cstheme="minorHAnsi"/>
          <w:szCs w:val="24"/>
        </w:rPr>
      </w:pPr>
      <w:r w:rsidRPr="00DA5ECD">
        <w:rPr>
          <w:rFonts w:cstheme="minorHAnsi"/>
          <w:szCs w:val="24"/>
        </w:rPr>
        <w:t>[FINALIZAR_LISTA_MARCADORES]</w:t>
      </w:r>
    </w:p>
    <w:p w:rsidR="00DA5ECD" w:rsidRDefault="00C3480A" w:rsidP="00DA5ECD">
      <w:pPr>
        <w:tabs>
          <w:tab w:val="num" w:pos="1440"/>
        </w:tabs>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 xml:space="preserve">PAPRES – Postos de Atendimento </w:t>
      </w:r>
      <w:proofErr w:type="spellStart"/>
      <w:r w:rsidR="00DA5ECD" w:rsidRPr="0033000A">
        <w:rPr>
          <w:rFonts w:cstheme="minorHAnsi"/>
          <w:b/>
          <w:color w:val="A21612"/>
          <w:szCs w:val="24"/>
        </w:rPr>
        <w:t>Pré</w:t>
      </w:r>
      <w:proofErr w:type="spellEnd"/>
      <w:r w:rsidR="00DA5ECD" w:rsidRPr="0033000A">
        <w:rPr>
          <w:rFonts w:cstheme="minorHAnsi"/>
          <w:b/>
          <w:color w:val="A21612"/>
          <w:szCs w:val="24"/>
        </w:rPr>
        <w:t>-processual</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t xml:space="preserve">45 convênios publicados em 2024; </w:t>
      </w:r>
    </w:p>
    <w:p w:rsidR="00DA5ECD" w:rsidRPr="00A12F6E" w:rsidRDefault="00DA5ECD" w:rsidP="00DE6521">
      <w:pPr>
        <w:spacing w:after="0"/>
        <w:contextualSpacing/>
        <w:rPr>
          <w:rFonts w:cstheme="minorHAnsi"/>
          <w:szCs w:val="24"/>
        </w:rPr>
      </w:pPr>
      <w:r w:rsidRPr="00A12F6E">
        <w:rPr>
          <w:rFonts w:cstheme="minorHAnsi"/>
          <w:szCs w:val="24"/>
        </w:rPr>
        <w:t xml:space="preserve">17 convênios em andamento em 2024; </w:t>
      </w:r>
    </w:p>
    <w:p w:rsidR="00DA5ECD" w:rsidRPr="00A12F6E" w:rsidRDefault="00DA5ECD" w:rsidP="00DE6521">
      <w:pPr>
        <w:spacing w:after="0"/>
        <w:contextualSpacing/>
        <w:rPr>
          <w:rFonts w:cstheme="minorHAnsi"/>
          <w:szCs w:val="24"/>
        </w:rPr>
      </w:pPr>
      <w:r w:rsidRPr="00A12F6E">
        <w:rPr>
          <w:rFonts w:cstheme="minorHAnsi"/>
          <w:szCs w:val="24"/>
        </w:rPr>
        <w:t xml:space="preserve">4.138 sessões agendadas de janeiro a julho de 2024; </w:t>
      </w:r>
    </w:p>
    <w:p w:rsidR="00DA5ECD" w:rsidRPr="00A12F6E" w:rsidRDefault="00DA5ECD" w:rsidP="00DE6521">
      <w:pPr>
        <w:spacing w:after="0"/>
        <w:contextualSpacing/>
        <w:rPr>
          <w:rFonts w:cstheme="minorHAnsi"/>
          <w:szCs w:val="24"/>
        </w:rPr>
      </w:pPr>
      <w:r w:rsidRPr="00A12F6E">
        <w:rPr>
          <w:rFonts w:cstheme="minorHAnsi"/>
          <w:szCs w:val="24"/>
        </w:rPr>
        <w:t>2.268 sessões realizadas janeiro a julho de 2024;</w:t>
      </w:r>
    </w:p>
    <w:p w:rsidR="00DA5ECD" w:rsidRDefault="00DA5ECD" w:rsidP="00DE6521">
      <w:pPr>
        <w:spacing w:after="0"/>
        <w:contextualSpacing/>
        <w:rPr>
          <w:rFonts w:cstheme="minorHAnsi"/>
          <w:szCs w:val="24"/>
        </w:rPr>
      </w:pPr>
      <w:r w:rsidRPr="00A12F6E">
        <w:rPr>
          <w:rFonts w:cstheme="minorHAnsi"/>
          <w:szCs w:val="24"/>
        </w:rPr>
        <w:t xml:space="preserve">1.705 acordos celebrados janeiro a julho de 2024. </w:t>
      </w:r>
    </w:p>
    <w:p w:rsidR="00DA5ECD" w:rsidRPr="00A12F6E" w:rsidRDefault="00DA5ECD" w:rsidP="00DA5ECD">
      <w:pPr>
        <w:spacing w:before="0" w:after="0"/>
        <w:jc w:val="left"/>
        <w:rPr>
          <w:rFonts w:cstheme="minorHAnsi"/>
          <w:szCs w:val="24"/>
        </w:rPr>
      </w:pPr>
      <w:r w:rsidRPr="00DA5ECD">
        <w:rPr>
          <w:rFonts w:cstheme="minorHAnsi"/>
          <w:szCs w:val="24"/>
        </w:rPr>
        <w:t>[FINALIZAR_LISTA_MARCADORES]</w:t>
      </w:r>
    </w:p>
    <w:p w:rsidR="00DA5ECD" w:rsidRDefault="00DA5ECD" w:rsidP="00DA5ECD">
      <w:pPr>
        <w:tabs>
          <w:tab w:val="num" w:pos="1440"/>
        </w:tabs>
        <w:spacing w:after="0"/>
        <w:contextualSpacing/>
        <w:rPr>
          <w:rFonts w:cstheme="minorHAnsi"/>
          <w:b/>
          <w:szCs w:val="24"/>
        </w:rPr>
      </w:pPr>
    </w:p>
    <w:p w:rsidR="00DA5ECD" w:rsidRDefault="00C3480A" w:rsidP="00DA5ECD">
      <w:pPr>
        <w:tabs>
          <w:tab w:val="num" w:pos="1440"/>
        </w:tabs>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Projeto Cidadania, Democracia e Justiça aos Povos Originários em Minas Gerais</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Pr="00A12F6E" w:rsidRDefault="00DA5ECD" w:rsidP="00DE6521">
      <w:pPr>
        <w:spacing w:after="0"/>
        <w:contextualSpacing/>
        <w:rPr>
          <w:rFonts w:cstheme="minorHAnsi"/>
          <w:szCs w:val="24"/>
        </w:rPr>
      </w:pPr>
      <w:r w:rsidRPr="00A12F6E">
        <w:rPr>
          <w:rFonts w:cstheme="minorHAnsi"/>
          <w:szCs w:val="24"/>
        </w:rPr>
        <w:t xml:space="preserve">8 ações de </w:t>
      </w:r>
      <w:proofErr w:type="spellStart"/>
      <w:r w:rsidRPr="00A12F6E">
        <w:rPr>
          <w:rFonts w:cstheme="minorHAnsi"/>
          <w:szCs w:val="24"/>
        </w:rPr>
        <w:t>itinerâncias</w:t>
      </w:r>
      <w:proofErr w:type="spellEnd"/>
      <w:r w:rsidRPr="00A12F6E">
        <w:rPr>
          <w:rFonts w:cstheme="minorHAnsi"/>
          <w:szCs w:val="24"/>
        </w:rPr>
        <w:t xml:space="preserve"> realizadas pelo projeto Cidadania, Democracia e Justiça aos Povos Originários em Minas Gerais, incluindo a promoção de 3 reuniões com parceiros, 5 escutas ativas, 13 audiências com a celebração de 13 acordos, 189 atendimentos de cidadania;</w:t>
      </w:r>
    </w:p>
    <w:p w:rsidR="00DA5ECD" w:rsidRPr="00A12F6E" w:rsidRDefault="00DA5ECD" w:rsidP="00DE6521">
      <w:pPr>
        <w:spacing w:after="0"/>
        <w:contextualSpacing/>
        <w:rPr>
          <w:rFonts w:cstheme="minorHAnsi"/>
          <w:szCs w:val="24"/>
        </w:rPr>
      </w:pPr>
      <w:r w:rsidRPr="00A12F6E">
        <w:rPr>
          <w:rFonts w:cstheme="minorHAnsi"/>
          <w:szCs w:val="24"/>
        </w:rPr>
        <w:t xml:space="preserve">Oficinas de Divórcio e Parentalidade; </w:t>
      </w:r>
    </w:p>
    <w:p w:rsidR="00DA5ECD" w:rsidRDefault="00DA5ECD" w:rsidP="00DE6521">
      <w:pPr>
        <w:spacing w:after="0"/>
        <w:contextualSpacing/>
        <w:rPr>
          <w:rFonts w:cstheme="minorHAnsi"/>
          <w:szCs w:val="24"/>
        </w:rPr>
      </w:pPr>
      <w:r w:rsidRPr="00A12F6E">
        <w:rPr>
          <w:rFonts w:cstheme="minorHAnsi"/>
          <w:szCs w:val="24"/>
        </w:rPr>
        <w:t xml:space="preserve">35 oficinas realizadas entre janeiro e julho de 2024. </w:t>
      </w:r>
    </w:p>
    <w:p w:rsidR="00DA5ECD" w:rsidRPr="00A12F6E" w:rsidRDefault="00DA5ECD" w:rsidP="00DA5ECD">
      <w:pPr>
        <w:spacing w:before="0" w:after="0"/>
        <w:jc w:val="left"/>
        <w:rPr>
          <w:rFonts w:cstheme="minorHAnsi"/>
          <w:szCs w:val="24"/>
        </w:rPr>
      </w:pPr>
      <w:r w:rsidRPr="00DA5ECD">
        <w:rPr>
          <w:rFonts w:cstheme="minorHAnsi"/>
          <w:szCs w:val="24"/>
        </w:rPr>
        <w:lastRenderedPageBreak/>
        <w:t>[FINALIZAR_LISTA_MARCADORES]</w:t>
      </w:r>
    </w:p>
    <w:p w:rsidR="00DA5ECD" w:rsidRDefault="00DA5ECD" w:rsidP="00DA5ECD">
      <w:pPr>
        <w:tabs>
          <w:tab w:val="num" w:pos="1440"/>
        </w:tabs>
        <w:spacing w:after="0"/>
        <w:contextualSpacing/>
        <w:rPr>
          <w:rFonts w:cstheme="minorHAnsi"/>
          <w:b/>
          <w:szCs w:val="24"/>
        </w:rPr>
      </w:pPr>
    </w:p>
    <w:p w:rsidR="00DA5ECD" w:rsidRDefault="00C3480A" w:rsidP="00DA5ECD">
      <w:pPr>
        <w:tabs>
          <w:tab w:val="num" w:pos="1440"/>
        </w:tabs>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Processos Circulares para Grupos do TJMG – Justiça Restaurativa</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Default="00DA5ECD" w:rsidP="00DE6521">
      <w:pPr>
        <w:spacing w:after="0"/>
        <w:contextualSpacing/>
        <w:rPr>
          <w:rFonts w:cstheme="minorHAnsi"/>
          <w:szCs w:val="24"/>
        </w:rPr>
      </w:pPr>
      <w:r w:rsidRPr="00A12F6E">
        <w:rPr>
          <w:rFonts w:cstheme="minorHAnsi"/>
          <w:szCs w:val="24"/>
        </w:rPr>
        <w:t>Em 2024, de janeiro a agosto, 99 trabalhadores contemplados com a realização de 12 círculos virtuais, com 12 temas diversos e 204 trabalhadores beneficiados com a realização de 13 círculos presenciais.</w:t>
      </w:r>
    </w:p>
    <w:p w:rsidR="00DA5ECD" w:rsidRPr="00A12F6E" w:rsidRDefault="00DA5ECD" w:rsidP="00DA5ECD">
      <w:pPr>
        <w:spacing w:before="0" w:after="0"/>
        <w:jc w:val="left"/>
        <w:rPr>
          <w:rFonts w:cstheme="minorHAnsi"/>
          <w:szCs w:val="24"/>
        </w:rPr>
      </w:pPr>
      <w:r w:rsidRPr="00DA5ECD">
        <w:rPr>
          <w:rFonts w:cstheme="minorHAnsi"/>
          <w:szCs w:val="24"/>
        </w:rPr>
        <w:t>[FINALIZAR_LISTA_MARCADORES]</w:t>
      </w:r>
    </w:p>
    <w:p w:rsidR="00DA5ECD" w:rsidRDefault="00DA5ECD" w:rsidP="00DA5ECD">
      <w:pPr>
        <w:tabs>
          <w:tab w:val="num" w:pos="1440"/>
        </w:tabs>
        <w:spacing w:after="0"/>
        <w:contextualSpacing/>
        <w:rPr>
          <w:rFonts w:cstheme="minorHAnsi"/>
          <w:b/>
          <w:szCs w:val="24"/>
        </w:rPr>
      </w:pPr>
    </w:p>
    <w:p w:rsidR="00DA5ECD" w:rsidRDefault="00C3480A" w:rsidP="00DA5ECD">
      <w:pPr>
        <w:tabs>
          <w:tab w:val="num" w:pos="1440"/>
        </w:tabs>
        <w:spacing w:after="0"/>
        <w:contextualSpacing/>
        <w:rPr>
          <w:rFonts w:cstheme="minorHAnsi"/>
          <w:b/>
          <w:color w:val="A21612"/>
          <w:szCs w:val="24"/>
        </w:rPr>
      </w:pPr>
      <w:r>
        <w:rPr>
          <w:rFonts w:cstheme="minorHAnsi"/>
          <w:b/>
          <w:color w:val="A21612"/>
          <w:szCs w:val="24"/>
        </w:rPr>
        <w:t xml:space="preserve"># </w:t>
      </w:r>
      <w:r w:rsidR="00DA5ECD" w:rsidRPr="0033000A">
        <w:rPr>
          <w:rFonts w:cstheme="minorHAnsi"/>
          <w:b/>
          <w:color w:val="A21612"/>
          <w:szCs w:val="24"/>
        </w:rPr>
        <w:t xml:space="preserve">Expansão do Serviço de Atendimento ao Consumidor </w:t>
      </w:r>
      <w:proofErr w:type="spellStart"/>
      <w:r w:rsidR="00DA5ECD" w:rsidRPr="0033000A">
        <w:rPr>
          <w:rFonts w:cstheme="minorHAnsi"/>
          <w:b/>
          <w:color w:val="A21612"/>
          <w:szCs w:val="24"/>
        </w:rPr>
        <w:t>Superendividado</w:t>
      </w:r>
      <w:proofErr w:type="spellEnd"/>
      <w:r w:rsidR="00DA5ECD" w:rsidRPr="0033000A">
        <w:rPr>
          <w:rFonts w:cstheme="minorHAnsi"/>
          <w:b/>
          <w:color w:val="A21612"/>
          <w:szCs w:val="24"/>
        </w:rPr>
        <w:t xml:space="preserve"> </w:t>
      </w:r>
    </w:p>
    <w:p w:rsidR="00DA5ECD" w:rsidRPr="00DA5ECD" w:rsidRDefault="00DA5ECD" w:rsidP="00DA5ECD">
      <w:pPr>
        <w:spacing w:before="0" w:after="0"/>
        <w:contextualSpacing/>
        <w:jc w:val="left"/>
        <w:rPr>
          <w:rFonts w:cstheme="minorHAnsi"/>
          <w:szCs w:val="24"/>
        </w:rPr>
      </w:pPr>
      <w:r w:rsidRPr="00786278">
        <w:rPr>
          <w:rFonts w:cstheme="minorHAnsi"/>
          <w:szCs w:val="24"/>
        </w:rPr>
        <w:t>[INICIAR_LISTA_MARCADORES]</w:t>
      </w:r>
    </w:p>
    <w:p w:rsidR="00DA5ECD" w:rsidRDefault="00DA5ECD" w:rsidP="00DE6521">
      <w:pPr>
        <w:tabs>
          <w:tab w:val="num" w:pos="1440"/>
        </w:tabs>
        <w:spacing w:after="0"/>
        <w:contextualSpacing/>
        <w:rPr>
          <w:rFonts w:cstheme="minorHAnsi"/>
          <w:szCs w:val="24"/>
        </w:rPr>
      </w:pPr>
      <w:r w:rsidRPr="00A12F6E">
        <w:rPr>
          <w:rFonts w:cstheme="minorHAnsi"/>
          <w:szCs w:val="24"/>
        </w:rPr>
        <w:t xml:space="preserve">Até agosto de 2024, foram instalados 16 postos de atendimento </w:t>
      </w:r>
      <w:proofErr w:type="spellStart"/>
      <w:r w:rsidRPr="00A12F6E">
        <w:rPr>
          <w:rFonts w:cstheme="minorHAnsi"/>
          <w:szCs w:val="24"/>
        </w:rPr>
        <w:t>pré</w:t>
      </w:r>
      <w:proofErr w:type="spellEnd"/>
      <w:r w:rsidRPr="00A12F6E">
        <w:rPr>
          <w:rFonts w:cstheme="minorHAnsi"/>
          <w:szCs w:val="24"/>
        </w:rPr>
        <w:t xml:space="preserve">-processual nas comarcas de: </w:t>
      </w:r>
    </w:p>
    <w:p w:rsidR="00DA5ECD" w:rsidRDefault="00DA5ECD" w:rsidP="00DA5ECD">
      <w:pPr>
        <w:spacing w:before="0" w:after="0"/>
        <w:contextualSpacing/>
        <w:jc w:val="left"/>
        <w:rPr>
          <w:rFonts w:cstheme="minorHAnsi"/>
          <w:szCs w:val="24"/>
        </w:rPr>
      </w:pPr>
      <w:r w:rsidRPr="00786278">
        <w:rPr>
          <w:rFonts w:cstheme="minorHAnsi"/>
          <w:szCs w:val="24"/>
        </w:rPr>
        <w:t>[FINALIZAR_LISTA_MARCADORES]</w:t>
      </w:r>
    </w:p>
    <w:p w:rsidR="00786278" w:rsidRDefault="00023A97" w:rsidP="00437F91">
      <w:pPr>
        <w:rPr>
          <w:u w:val="single"/>
        </w:rPr>
      </w:pPr>
      <w:r>
        <w:t>[INSERIR_</w:t>
      </w:r>
      <w:r w:rsidRPr="00023A97">
        <w:t>TABELA_CIDADES</w:t>
      </w:r>
      <w:r>
        <w:t>]</w:t>
      </w:r>
    </w:p>
    <w:p w:rsidR="0033239F" w:rsidRDefault="0033239F" w:rsidP="0033239F">
      <w:r>
        <w:t xml:space="preserve"># </w:t>
      </w:r>
      <w:r>
        <w:t xml:space="preserve">Orquestra Jovem e Coral </w:t>
      </w:r>
      <w:proofErr w:type="spellStart"/>
      <w:r>
        <w:t>Infantojuvenil</w:t>
      </w:r>
      <w:proofErr w:type="spellEnd"/>
    </w:p>
    <w:p w:rsidR="0033239F" w:rsidRDefault="0033239F" w:rsidP="0033239F">
      <w:r>
        <w:t xml:space="preserve">436 crianças e adolescentes participantes da Orquestra Jovem e do Coral </w:t>
      </w:r>
      <w:proofErr w:type="spellStart"/>
      <w:r>
        <w:t>Infantojuvenil</w:t>
      </w:r>
      <w:proofErr w:type="spellEnd"/>
      <w:r>
        <w:t xml:space="preserve"> entre janeiro e agosto de 2024. </w:t>
      </w:r>
    </w:p>
    <w:p w:rsidR="0033239F" w:rsidRPr="0033239F" w:rsidRDefault="0033239F" w:rsidP="0033239F">
      <w:pPr>
        <w:spacing w:before="0" w:after="0"/>
        <w:jc w:val="left"/>
        <w:rPr>
          <w:rFonts w:cstheme="minorHAnsi"/>
          <w:szCs w:val="24"/>
        </w:rPr>
      </w:pPr>
      <w:r w:rsidRPr="0033239F">
        <w:rPr>
          <w:rFonts w:cstheme="minorHAnsi"/>
          <w:szCs w:val="24"/>
        </w:rPr>
        <w:t>[INICIAR_LISTA_MARCADORES]</w:t>
      </w:r>
    </w:p>
    <w:p w:rsidR="0033239F" w:rsidRDefault="0033239F" w:rsidP="0033239F">
      <w:r>
        <w:t>Desde o início do projeto, 1.560 crianças e adolescentes já foram beneficiados.</w:t>
      </w:r>
    </w:p>
    <w:p w:rsidR="0033239F" w:rsidRDefault="0033239F" w:rsidP="0033239F">
      <w:r>
        <w:t xml:space="preserve">Ao longo do ano, 20 apresentações já foram realizadas entre solenidades, eventos institucionais, concertos, apresentações, Posse da Nova Direção etc. </w:t>
      </w:r>
    </w:p>
    <w:p w:rsidR="0033239F" w:rsidRDefault="0033239F" w:rsidP="0033239F">
      <w:r>
        <w:t xml:space="preserve">Atualmente, 238 crianças e adolescentes estão em processo de seleção para integrarem a Orquestra Jovem e o Coral </w:t>
      </w:r>
      <w:proofErr w:type="spellStart"/>
      <w:r>
        <w:t>Infantojuvenil</w:t>
      </w:r>
      <w:proofErr w:type="spellEnd"/>
      <w:r>
        <w:t>.</w:t>
      </w:r>
    </w:p>
    <w:p w:rsidR="0033239F" w:rsidRPr="0033239F" w:rsidRDefault="0033239F" w:rsidP="0033239F">
      <w:pPr>
        <w:spacing w:before="0" w:after="0"/>
        <w:jc w:val="left"/>
        <w:rPr>
          <w:rFonts w:cstheme="minorHAnsi"/>
          <w:szCs w:val="24"/>
        </w:rPr>
      </w:pPr>
      <w:r w:rsidRPr="0033239F">
        <w:rPr>
          <w:rFonts w:cstheme="minorHAnsi"/>
          <w:szCs w:val="24"/>
        </w:rPr>
        <w:t>[FINALIZAR_LISTA_MARCADORES]</w:t>
      </w:r>
    </w:p>
    <w:p w:rsidR="0033239F" w:rsidRDefault="0033239F" w:rsidP="0033239F">
      <w:r>
        <w:t xml:space="preserve"># </w:t>
      </w:r>
      <w:r>
        <w:t>Implantação do Sistema de Apresentação Remota e Reconhecimento Facial – SAREF (Projeto piloto na VEP/BH)</w:t>
      </w:r>
    </w:p>
    <w:p w:rsidR="0033239F" w:rsidRPr="00DA5ECD" w:rsidRDefault="0033239F" w:rsidP="0033239F">
      <w:pPr>
        <w:spacing w:before="0" w:after="0"/>
        <w:contextualSpacing/>
        <w:jc w:val="left"/>
        <w:rPr>
          <w:rFonts w:cstheme="minorHAnsi"/>
          <w:szCs w:val="24"/>
        </w:rPr>
      </w:pPr>
      <w:r w:rsidRPr="00786278">
        <w:rPr>
          <w:rFonts w:cstheme="minorHAnsi"/>
          <w:szCs w:val="24"/>
        </w:rPr>
        <w:t>[INICIAR_LISTA_MARCADORES]</w:t>
      </w:r>
    </w:p>
    <w:p w:rsidR="0033239F" w:rsidRDefault="0033239F" w:rsidP="0033239F"/>
    <w:p w:rsidR="0033239F" w:rsidRDefault="0033239F" w:rsidP="0033239F">
      <w:r>
        <w:lastRenderedPageBreak/>
        <w:t xml:space="preserve">Lançamento do Projeto de Implantação do Sistema de Apresentação Remota e reconhecimento Facial – SAREF, contribuindo para o </w:t>
      </w:r>
      <w:proofErr w:type="spellStart"/>
      <w:r>
        <w:t>desafogamento</w:t>
      </w:r>
      <w:proofErr w:type="spellEnd"/>
      <w:r>
        <w:t xml:space="preserve"> das unidades judiciárias e dando mais segurança e comodidade para o usuário.</w:t>
      </w:r>
    </w:p>
    <w:p w:rsidR="0033239F" w:rsidRPr="0033239F" w:rsidRDefault="0033239F" w:rsidP="0033239F">
      <w:pPr>
        <w:spacing w:before="0" w:after="0"/>
        <w:jc w:val="left"/>
        <w:rPr>
          <w:rFonts w:cstheme="minorHAnsi"/>
          <w:szCs w:val="24"/>
        </w:rPr>
      </w:pPr>
      <w:r w:rsidRPr="0033239F">
        <w:rPr>
          <w:rFonts w:cstheme="minorHAnsi"/>
          <w:szCs w:val="24"/>
        </w:rPr>
        <w:t>[FINALIZAR_LISTA_MARCADORES]</w:t>
      </w:r>
    </w:p>
    <w:p w:rsidR="0033239F" w:rsidRDefault="0033239F" w:rsidP="0033239F">
      <w:r>
        <w:t xml:space="preserve"># </w:t>
      </w:r>
      <w:r>
        <w:t>2ª Semana Nacional do Registro Civil – Registre-se</w:t>
      </w:r>
    </w:p>
    <w:p w:rsidR="0033239F" w:rsidRPr="0033239F" w:rsidRDefault="0033239F" w:rsidP="0033239F">
      <w:pPr>
        <w:spacing w:before="0" w:after="0"/>
        <w:jc w:val="left"/>
        <w:rPr>
          <w:rFonts w:cstheme="minorHAnsi"/>
          <w:szCs w:val="24"/>
        </w:rPr>
      </w:pPr>
      <w:r w:rsidRPr="0033239F">
        <w:rPr>
          <w:rFonts w:cstheme="minorHAnsi"/>
          <w:szCs w:val="24"/>
        </w:rPr>
        <w:t>[INICIAR_LISTA_MARCADORES]</w:t>
      </w:r>
    </w:p>
    <w:p w:rsidR="0033239F" w:rsidRDefault="0033239F" w:rsidP="0033239F">
      <w:r>
        <w:t xml:space="preserve">6.272 atendimentos realizados, entre 13 e 17 de maio de 2024, para pessoas em situação de rua, </w:t>
      </w:r>
      <w:proofErr w:type="spellStart"/>
      <w:r>
        <w:t>pré</w:t>
      </w:r>
      <w:proofErr w:type="spellEnd"/>
      <w:r>
        <w:t>-egressos dos Sistemas Socioeducativo e Prisional e para população indígena, resultando na emissão de 1.454 certidões de registro civil e de 2.445 carteiras de identidades.</w:t>
      </w:r>
    </w:p>
    <w:p w:rsidR="0033239F" w:rsidRPr="0033239F" w:rsidRDefault="0033239F" w:rsidP="0033239F">
      <w:pPr>
        <w:spacing w:before="0" w:after="0"/>
        <w:contextualSpacing/>
        <w:jc w:val="left"/>
        <w:rPr>
          <w:rFonts w:cstheme="minorHAnsi"/>
          <w:szCs w:val="24"/>
        </w:rPr>
      </w:pPr>
      <w:r w:rsidRPr="00786278">
        <w:rPr>
          <w:rFonts w:cstheme="minorHAnsi"/>
          <w:szCs w:val="24"/>
        </w:rPr>
        <w:t>[FINALIZAR_LISTA_MARCADORES]</w:t>
      </w:r>
    </w:p>
    <w:p w:rsidR="0033239F" w:rsidRDefault="0033239F" w:rsidP="0033239F"/>
    <w:p w:rsidR="0033239F" w:rsidRDefault="0033239F" w:rsidP="0033239F">
      <w:r>
        <w:t xml:space="preserve"># </w:t>
      </w:r>
      <w:r>
        <w:t>Exames de DNA – justiça gratuita</w:t>
      </w:r>
    </w:p>
    <w:p w:rsidR="0033239F" w:rsidRPr="0033239F" w:rsidRDefault="0033239F" w:rsidP="0033239F">
      <w:pPr>
        <w:spacing w:before="0" w:after="0"/>
        <w:contextualSpacing/>
        <w:jc w:val="left"/>
        <w:rPr>
          <w:rFonts w:cstheme="minorHAnsi"/>
          <w:szCs w:val="24"/>
        </w:rPr>
      </w:pPr>
      <w:r w:rsidRPr="00786278">
        <w:rPr>
          <w:rFonts w:cstheme="minorHAnsi"/>
          <w:szCs w:val="24"/>
        </w:rPr>
        <w:t>[INICIAR_LISTA_MARCADORES]</w:t>
      </w:r>
    </w:p>
    <w:p w:rsidR="0033239F" w:rsidRDefault="0033239F" w:rsidP="0033239F">
      <w:r>
        <w:t>2.083 exames de DNA realizados entre janeiro e agosto de 2024 em ações judiciais ou para o atendimento extrajudicial de investigação de paternidade/maternidade e de outros vínculos genéticos referentes às demandas em que as partes estejam acobertadas pela justiça gratuita.</w:t>
      </w:r>
    </w:p>
    <w:p w:rsidR="0033239F" w:rsidRPr="0033239F" w:rsidRDefault="0033239F" w:rsidP="0033239F">
      <w:pPr>
        <w:spacing w:before="0" w:after="0"/>
        <w:contextualSpacing/>
        <w:jc w:val="left"/>
        <w:rPr>
          <w:rFonts w:cstheme="minorHAnsi"/>
          <w:szCs w:val="24"/>
        </w:rPr>
      </w:pPr>
      <w:r w:rsidRPr="00786278">
        <w:rPr>
          <w:rFonts w:cstheme="minorHAnsi"/>
          <w:szCs w:val="24"/>
        </w:rPr>
        <w:t>[FINALIZAR_LISTA_MARCADORES]</w:t>
      </w:r>
    </w:p>
    <w:p w:rsidR="0033239F" w:rsidRDefault="0033239F" w:rsidP="0033239F">
      <w:r>
        <w:t xml:space="preserve"># </w:t>
      </w:r>
      <w:r>
        <w:t xml:space="preserve">Outras Ações Sociais do TJMG </w:t>
      </w:r>
    </w:p>
    <w:p w:rsidR="0033239F" w:rsidRPr="0033239F" w:rsidRDefault="0033239F" w:rsidP="0033239F">
      <w:pPr>
        <w:spacing w:before="0" w:after="0"/>
        <w:contextualSpacing/>
        <w:jc w:val="left"/>
        <w:rPr>
          <w:rFonts w:cstheme="minorHAnsi"/>
          <w:szCs w:val="24"/>
        </w:rPr>
      </w:pPr>
      <w:r w:rsidRPr="00786278">
        <w:rPr>
          <w:rFonts w:cstheme="minorHAnsi"/>
          <w:szCs w:val="24"/>
        </w:rPr>
        <w:t>[INICIAR_LISTA_MARCADORES]</w:t>
      </w:r>
    </w:p>
    <w:p w:rsidR="0033239F" w:rsidRDefault="0033239F" w:rsidP="0033239F">
      <w:r>
        <w:t>Expansão do projeto Mano Dow;</w:t>
      </w:r>
    </w:p>
    <w:p w:rsidR="0033239F" w:rsidRDefault="0033239F" w:rsidP="0033239F">
      <w:r>
        <w:t>Programa conhecendo o Judiciário;</w:t>
      </w:r>
    </w:p>
    <w:p w:rsidR="0033239F" w:rsidRDefault="0033239F" w:rsidP="0033239F">
      <w:r>
        <w:t>TJMG Cultural;</w:t>
      </w:r>
    </w:p>
    <w:p w:rsidR="0033239F" w:rsidRDefault="0033239F" w:rsidP="0033239F">
      <w:r>
        <w:t>Igualdade Racial e de Gênero;</w:t>
      </w:r>
    </w:p>
    <w:p w:rsidR="0033239F" w:rsidRDefault="0033239F" w:rsidP="0033239F">
      <w:r>
        <w:t>Inclusão Social;</w:t>
      </w:r>
    </w:p>
    <w:p w:rsidR="0033239F" w:rsidRDefault="0033239F" w:rsidP="0033239F">
      <w:r>
        <w:t>Ouvidoria Itinerante.</w:t>
      </w:r>
    </w:p>
    <w:p w:rsidR="0033239F" w:rsidRPr="0033239F" w:rsidRDefault="0033239F" w:rsidP="0033239F">
      <w:pPr>
        <w:spacing w:before="0" w:after="0"/>
        <w:contextualSpacing/>
        <w:jc w:val="left"/>
        <w:rPr>
          <w:rFonts w:cstheme="minorHAnsi"/>
          <w:szCs w:val="24"/>
        </w:rPr>
      </w:pPr>
      <w:r w:rsidRPr="00786278">
        <w:rPr>
          <w:rFonts w:cstheme="minorHAnsi"/>
          <w:szCs w:val="24"/>
        </w:rPr>
        <w:lastRenderedPageBreak/>
        <w:t>[FINALIZAR_LISTA_MARCADORES]</w:t>
      </w:r>
    </w:p>
    <w:p w:rsidR="0033239F" w:rsidRDefault="0033239F" w:rsidP="0033239F"/>
    <w:p w:rsidR="0033239F" w:rsidRDefault="0033239F" w:rsidP="0033239F">
      <w:r>
        <w:t> </w:t>
      </w:r>
    </w:p>
    <w:p w:rsidR="0033239F" w:rsidRDefault="0033239F" w:rsidP="0033239F">
      <w:r>
        <w:t>3.10</w:t>
      </w:r>
      <w:r>
        <w:tab/>
        <w:t>Comunicação Institucional - Ouvidoria</w:t>
      </w:r>
    </w:p>
    <w:p w:rsidR="0033239F" w:rsidRDefault="0033239F" w:rsidP="0033239F">
      <w:r>
        <w:t>Com a finalidade de aprimorar a interlocução entre a sociedade e o Tribunal de Justiça do Estado de Minas Gerais, a Ouvidoria teve sua estrutura aperfeiçoada pela Resolução nº 862 de 19 de dezembro de 2017.</w:t>
      </w:r>
    </w:p>
    <w:p w:rsidR="0033239F" w:rsidRDefault="0033239F" w:rsidP="0033239F">
      <w:r>
        <w:t>Compete à Ouvidoria, no âmbito de suas atribuições, prestar esclarecimentos ao cidadão sobre a função constitucional, a estrutura e o funcionamento dos órgãos do Poder Judiciário, bem como sobre as ações desenvolvidas pelo TJMG e outras informações administrativas de interesse público.</w:t>
      </w:r>
    </w:p>
    <w:p w:rsidR="0033239F" w:rsidRDefault="0033239F" w:rsidP="0033239F">
      <w:r>
        <w:t>As solicitações de informações, comentários, dúvidas, denúncias, críticas e sugestões poderão ser encaminhadas por meio de formulários eletrônicos.</w:t>
      </w:r>
    </w:p>
    <w:p w:rsidR="00023A97" w:rsidRDefault="0033239F" w:rsidP="0033239F">
      <w:r>
        <w:t>Em 2024, no atendimento às demandas dos cidadãos, o painel estatístico da Ouvidoria do TJMG revelou os seguintes apontamentos:</w:t>
      </w:r>
    </w:p>
    <w:p w:rsidR="00F15A31" w:rsidRPr="00ED171B" w:rsidRDefault="00F15A31" w:rsidP="00F15A31">
      <w:pPr>
        <w:jc w:val="left"/>
      </w:pPr>
      <w:r>
        <w:rPr>
          <w:sz w:val="16"/>
          <w:szCs w:val="16"/>
        </w:rPr>
        <w:fldChar w:fldCharType="begin"/>
      </w:r>
      <w:r>
        <w:rPr>
          <w:sz w:val="16"/>
          <w:szCs w:val="16"/>
        </w:rPr>
        <w:instrText xml:space="preserve"> TC  “</w:instrText>
      </w:r>
      <w:bookmarkStart w:id="20" w:name="_Toc189119803"/>
      <w:r>
        <w:rPr>
          <w:rFonts w:cstheme="minorHAnsi"/>
          <w:sz w:val="16"/>
          <w:szCs w:val="16"/>
        </w:rPr>
        <w:instrText xml:space="preserve">Figura 17 </w:instrText>
      </w:r>
      <w:r>
        <w:rPr>
          <w:sz w:val="16"/>
          <w:szCs w:val="16"/>
        </w:rPr>
        <w:instrText>-</w:instrText>
      </w:r>
      <w:r>
        <w:rPr>
          <w:rFonts w:cstheme="minorHAnsi"/>
          <w:sz w:val="16"/>
          <w:szCs w:val="16"/>
        </w:rPr>
        <w:instrText xml:space="preserve"> Estatística 2024 de atendimentos Ouvidoria – Painel Estatística SIC Portal TJMG</w:instrText>
      </w:r>
      <w:bookmarkEnd w:id="20"/>
      <w:r>
        <w:rPr>
          <w:sz w:val="16"/>
          <w:szCs w:val="16"/>
        </w:rPr>
        <w:instrText>”</w:instrText>
      </w:r>
      <w:r w:rsidRPr="00D842AD">
        <w:rPr>
          <w:sz w:val="16"/>
          <w:szCs w:val="16"/>
        </w:rPr>
        <w:instrText xml:space="preserve"> </w:instrText>
      </w:r>
      <w:r>
        <w:rPr>
          <w:sz w:val="16"/>
          <w:szCs w:val="16"/>
        </w:rPr>
        <w:instrText xml:space="preserve">\f f\l 1 </w:instrText>
      </w:r>
      <w:r>
        <w:rPr>
          <w:sz w:val="16"/>
          <w:szCs w:val="16"/>
        </w:rPr>
        <w:fldChar w:fldCharType="end"/>
      </w:r>
      <w:r>
        <w:rPr>
          <w:rFonts w:cstheme="minorHAnsi"/>
          <w:sz w:val="16"/>
          <w:szCs w:val="16"/>
        </w:rPr>
        <w:t xml:space="preserve">Figura 17 </w:t>
      </w:r>
      <w:r>
        <w:rPr>
          <w:sz w:val="16"/>
          <w:szCs w:val="16"/>
        </w:rPr>
        <w:t>-</w:t>
      </w:r>
      <w:r>
        <w:rPr>
          <w:rFonts w:cstheme="minorHAnsi"/>
          <w:sz w:val="16"/>
          <w:szCs w:val="16"/>
        </w:rPr>
        <w:t xml:space="preserve"> Estatística 2024 de atendimentos Ouvidoria – Painel Estatística SIC Portal TJMG</w:t>
      </w:r>
    </w:p>
    <w:p w:rsidR="00F15A31" w:rsidRDefault="00F15A31" w:rsidP="00F15A31">
      <w:r>
        <w:t>4</w:t>
      </w:r>
      <w:r>
        <w:t>.</w:t>
      </w:r>
      <w:r>
        <w:tab/>
        <w:t>DESEMPENHO INSTITUCIONAL</w:t>
      </w:r>
    </w:p>
    <w:p w:rsidR="00F15A31" w:rsidRDefault="00F15A31" w:rsidP="00F15A31">
      <w:r>
        <w:t>Este capítulo apresentará a performance do TJMG nos principais indicadores acompanhados pela Instituição, relacionados tanto à prestação jurisdicional quanto às questões administrativas.</w:t>
      </w:r>
    </w:p>
    <w:p w:rsidR="00F15A31" w:rsidRDefault="00F15A31" w:rsidP="00F15A31">
      <w:r>
        <w:t>4.1</w:t>
      </w:r>
      <w:r>
        <w:tab/>
        <w:t>Desempenho do TJMG no Relatório “Justiça em Números”</w:t>
      </w:r>
    </w:p>
    <w:p w:rsidR="00F15A31" w:rsidRDefault="00F15A31" w:rsidP="00F15A31">
      <w:r>
        <w:t>O relatório “Justiça em Números” é uma minuciosa radiografia com informações detalhadas sobre o desempenho dos órgãos que integram o Poder Judiciário brasileiro, com abordagem dos gastos, estrutura em geral, produtividade e eficiência. Ressaltamos que o relatório de 2024 utilizou primordialmente os dados da Base Nacional de Dados do Poder Judiciário (</w:t>
      </w:r>
      <w:proofErr w:type="spellStart"/>
      <w:r>
        <w:t>Datajud</w:t>
      </w:r>
      <w:proofErr w:type="spellEnd"/>
      <w:r>
        <w:t>), responsável por armazenar dados processuais dos tribunais.</w:t>
      </w:r>
    </w:p>
    <w:p w:rsidR="00F15A31" w:rsidRPr="0033239F" w:rsidRDefault="00F15A31" w:rsidP="00F15A31">
      <w:r>
        <w:lastRenderedPageBreak/>
        <w:t>Apresentamos um consolidado de dados do TJMG extraídos dos relatórios Justiça em Números, nos últimos 06 (seis) anos:</w:t>
      </w:r>
    </w:p>
    <w:sectPr w:rsidR="00F15A31" w:rsidRPr="003323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77FE3"/>
    <w:multiLevelType w:val="hybridMultilevel"/>
    <w:tmpl w:val="2F3A1596"/>
    <w:lvl w:ilvl="0" w:tplc="CA909D1E">
      <w:start w:val="1"/>
      <w:numFmt w:val="decimal"/>
      <w:lvlText w:val="%1."/>
      <w:lvlJc w:val="left"/>
      <w:pPr>
        <w:ind w:left="720" w:hanging="360"/>
      </w:pPr>
      <w:rPr>
        <w:rFonts w:hint="default"/>
        <w:sz w:val="3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887BC5"/>
    <w:multiLevelType w:val="hybridMultilevel"/>
    <w:tmpl w:val="FF46E1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FF6AF4"/>
    <w:multiLevelType w:val="hybridMultilevel"/>
    <w:tmpl w:val="D8AAB3DE"/>
    <w:lvl w:ilvl="0" w:tplc="AD3C5EB4">
      <w:numFmt w:val="bullet"/>
      <w:lvlText w:val="•"/>
      <w:lvlJc w:val="left"/>
      <w:pPr>
        <w:ind w:left="1065" w:hanging="705"/>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FD0BDB"/>
    <w:multiLevelType w:val="hybridMultilevel"/>
    <w:tmpl w:val="28EA016E"/>
    <w:lvl w:ilvl="0" w:tplc="AD3C5EB4">
      <w:numFmt w:val="bullet"/>
      <w:lvlText w:val="•"/>
      <w:lvlJc w:val="left"/>
      <w:pPr>
        <w:ind w:left="1065" w:hanging="705"/>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571E26"/>
    <w:multiLevelType w:val="multilevel"/>
    <w:tmpl w:val="1F3A34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0A4E5D"/>
    <w:multiLevelType w:val="hybridMultilevel"/>
    <w:tmpl w:val="AD008C5A"/>
    <w:lvl w:ilvl="0" w:tplc="AD3C5EB4">
      <w:numFmt w:val="bullet"/>
      <w:lvlText w:val="•"/>
      <w:lvlJc w:val="left"/>
      <w:pPr>
        <w:ind w:left="1065" w:hanging="705"/>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8A736A"/>
    <w:multiLevelType w:val="hybridMultilevel"/>
    <w:tmpl w:val="54BAE9FC"/>
    <w:lvl w:ilvl="0" w:tplc="F062826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BBE0A82"/>
    <w:multiLevelType w:val="hybridMultilevel"/>
    <w:tmpl w:val="AAFC0982"/>
    <w:lvl w:ilvl="0" w:tplc="FCCCCCE0">
      <w:start w:val="1"/>
      <w:numFmt w:val="decimal"/>
      <w:lvlText w:val="%1."/>
      <w:lvlJc w:val="left"/>
      <w:pPr>
        <w:ind w:left="1068" w:hanging="360"/>
      </w:pPr>
      <w:rPr>
        <w:rFonts w:hint="default"/>
        <w:sz w:val="36"/>
        <w:szCs w:val="36"/>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 w15:restartNumberingAfterBreak="0">
    <w:nsid w:val="1F9831C4"/>
    <w:multiLevelType w:val="hybridMultilevel"/>
    <w:tmpl w:val="E996BD8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31930607"/>
    <w:multiLevelType w:val="hybridMultilevel"/>
    <w:tmpl w:val="E4BED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3311B83"/>
    <w:multiLevelType w:val="hybridMultilevel"/>
    <w:tmpl w:val="8494AF96"/>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A2860C9"/>
    <w:multiLevelType w:val="hybridMultilevel"/>
    <w:tmpl w:val="6570EAB0"/>
    <w:lvl w:ilvl="0" w:tplc="50505B50">
      <w:numFmt w:val="bullet"/>
      <w:lvlText w:val="•"/>
      <w:lvlJc w:val="left"/>
      <w:pPr>
        <w:ind w:left="1065" w:hanging="705"/>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56B4CC1"/>
    <w:multiLevelType w:val="hybridMultilevel"/>
    <w:tmpl w:val="A5CE5F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F15F56"/>
    <w:multiLevelType w:val="hybridMultilevel"/>
    <w:tmpl w:val="6BA4D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83E2BA7"/>
    <w:multiLevelType w:val="hybridMultilevel"/>
    <w:tmpl w:val="DD244E80"/>
    <w:lvl w:ilvl="0" w:tplc="AD3C5EB4">
      <w:numFmt w:val="bullet"/>
      <w:lvlText w:val="•"/>
      <w:lvlJc w:val="left"/>
      <w:pPr>
        <w:ind w:left="1065" w:hanging="705"/>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600803"/>
    <w:multiLevelType w:val="hybridMultilevel"/>
    <w:tmpl w:val="065A236A"/>
    <w:lvl w:ilvl="0" w:tplc="54BAC82E">
      <w:start w:val="1"/>
      <w:numFmt w:val="decimal"/>
      <w:lvlText w:val="%1."/>
      <w:lvlJc w:val="left"/>
      <w:pPr>
        <w:ind w:left="720" w:hanging="360"/>
      </w:pPr>
      <w:rPr>
        <w:rFonts w:hint="default"/>
        <w:sz w:val="3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41A1267"/>
    <w:multiLevelType w:val="hybridMultilevel"/>
    <w:tmpl w:val="81B205E4"/>
    <w:lvl w:ilvl="0" w:tplc="04160001">
      <w:start w:val="1"/>
      <w:numFmt w:val="bullet"/>
      <w:lvlText w:val=""/>
      <w:lvlJc w:val="left"/>
      <w:pPr>
        <w:ind w:left="720" w:hanging="360"/>
      </w:pPr>
      <w:rPr>
        <w:rFonts w:ascii="Symbol" w:hAnsi="Symbol" w:hint="default"/>
      </w:rPr>
    </w:lvl>
    <w:lvl w:ilvl="1" w:tplc="530C5FD8">
      <w:numFmt w:val="bullet"/>
      <w:lvlText w:val="•"/>
      <w:lvlJc w:val="left"/>
      <w:pPr>
        <w:ind w:left="1785" w:hanging="705"/>
      </w:pPr>
      <w:rPr>
        <w:rFonts w:ascii="Calibri" w:eastAsiaTheme="minorHAnsi" w:hAnsi="Calibri" w:cs="Calibr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7667459"/>
    <w:multiLevelType w:val="hybridMultilevel"/>
    <w:tmpl w:val="98206AB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38A558A"/>
    <w:multiLevelType w:val="hybridMultilevel"/>
    <w:tmpl w:val="D1D694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45F35B5"/>
    <w:multiLevelType w:val="hybridMultilevel"/>
    <w:tmpl w:val="61240BD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20" w15:restartNumberingAfterBreak="0">
    <w:nsid w:val="76E61E91"/>
    <w:multiLevelType w:val="hybridMultilevel"/>
    <w:tmpl w:val="20CEF062"/>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790F0268"/>
    <w:multiLevelType w:val="hybridMultilevel"/>
    <w:tmpl w:val="14A8AE2E"/>
    <w:lvl w:ilvl="0" w:tplc="04160001">
      <w:start w:val="1"/>
      <w:numFmt w:val="bullet"/>
      <w:lvlText w:val=""/>
      <w:lvlJc w:val="left"/>
      <w:pPr>
        <w:ind w:left="720" w:hanging="360"/>
      </w:pPr>
      <w:rPr>
        <w:rFonts w:ascii="Symbol" w:hAnsi="Symbol" w:hint="default"/>
      </w:rPr>
    </w:lvl>
    <w:lvl w:ilvl="1" w:tplc="9D5C7EE6">
      <w:numFmt w:val="bullet"/>
      <w:lvlText w:val="·"/>
      <w:lvlJc w:val="left"/>
      <w:pPr>
        <w:ind w:left="1440" w:hanging="360"/>
      </w:pPr>
      <w:rPr>
        <w:rFonts w:ascii="Calibri" w:eastAsiaTheme="minorHAnsi" w:hAnsi="Calibri" w:cstheme="minorHAns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96C7AA8"/>
    <w:multiLevelType w:val="hybridMultilevel"/>
    <w:tmpl w:val="9CE8FB7C"/>
    <w:lvl w:ilvl="0" w:tplc="AD3C5EB4">
      <w:numFmt w:val="bullet"/>
      <w:lvlText w:val="•"/>
      <w:lvlJc w:val="left"/>
      <w:pPr>
        <w:ind w:left="1065" w:hanging="705"/>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FC32E74"/>
    <w:multiLevelType w:val="hybridMultilevel"/>
    <w:tmpl w:val="632AD416"/>
    <w:lvl w:ilvl="0" w:tplc="93C0AFE4">
      <w:numFmt w:val="bullet"/>
      <w:lvlText w:val=""/>
      <w:lvlJc w:val="left"/>
      <w:pPr>
        <w:ind w:left="360" w:hanging="360"/>
      </w:pPr>
      <w:rPr>
        <w:rFonts w:ascii="Symbol" w:eastAsiaTheme="minorHAnsi" w:hAnsi="Symbol" w:cstheme="minorHAnsi"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7"/>
  </w:num>
  <w:num w:numId="2">
    <w:abstractNumId w:val="15"/>
  </w:num>
  <w:num w:numId="3">
    <w:abstractNumId w:val="0"/>
  </w:num>
  <w:num w:numId="4">
    <w:abstractNumId w:val="10"/>
  </w:num>
  <w:num w:numId="5">
    <w:abstractNumId w:val="4"/>
  </w:num>
  <w:num w:numId="6">
    <w:abstractNumId w:val="21"/>
  </w:num>
  <w:num w:numId="7">
    <w:abstractNumId w:val="13"/>
  </w:num>
  <w:num w:numId="8">
    <w:abstractNumId w:val="1"/>
  </w:num>
  <w:num w:numId="9">
    <w:abstractNumId w:val="6"/>
  </w:num>
  <w:num w:numId="10">
    <w:abstractNumId w:val="23"/>
  </w:num>
  <w:num w:numId="11">
    <w:abstractNumId w:val="19"/>
  </w:num>
  <w:num w:numId="12">
    <w:abstractNumId w:val="20"/>
  </w:num>
  <w:num w:numId="13">
    <w:abstractNumId w:val="18"/>
  </w:num>
  <w:num w:numId="14">
    <w:abstractNumId w:val="12"/>
  </w:num>
  <w:num w:numId="15">
    <w:abstractNumId w:val="11"/>
  </w:num>
  <w:num w:numId="16">
    <w:abstractNumId w:val="9"/>
  </w:num>
  <w:num w:numId="17">
    <w:abstractNumId w:val="22"/>
  </w:num>
  <w:num w:numId="18">
    <w:abstractNumId w:val="3"/>
  </w:num>
  <w:num w:numId="19">
    <w:abstractNumId w:val="5"/>
  </w:num>
  <w:num w:numId="20">
    <w:abstractNumId w:val="14"/>
  </w:num>
  <w:num w:numId="21">
    <w:abstractNumId w:val="2"/>
  </w:num>
  <w:num w:numId="22">
    <w:abstractNumId w:val="8"/>
  </w:num>
  <w:num w:numId="23">
    <w:abstractNumId w:val="16"/>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0B"/>
    <w:rsid w:val="00023A97"/>
    <w:rsid w:val="00034D1D"/>
    <w:rsid w:val="00095A5C"/>
    <w:rsid w:val="000C5545"/>
    <w:rsid w:val="00147783"/>
    <w:rsid w:val="00160AB6"/>
    <w:rsid w:val="0016189C"/>
    <w:rsid w:val="0021189E"/>
    <w:rsid w:val="00224AD7"/>
    <w:rsid w:val="002B62AE"/>
    <w:rsid w:val="003142E1"/>
    <w:rsid w:val="0033239F"/>
    <w:rsid w:val="00335937"/>
    <w:rsid w:val="003416CE"/>
    <w:rsid w:val="00343AB0"/>
    <w:rsid w:val="003B2727"/>
    <w:rsid w:val="003E03D0"/>
    <w:rsid w:val="003E682B"/>
    <w:rsid w:val="004021D7"/>
    <w:rsid w:val="004034F8"/>
    <w:rsid w:val="00404B7F"/>
    <w:rsid w:val="00437F91"/>
    <w:rsid w:val="004A2AEF"/>
    <w:rsid w:val="004E2237"/>
    <w:rsid w:val="005140E9"/>
    <w:rsid w:val="00514E0A"/>
    <w:rsid w:val="00523927"/>
    <w:rsid w:val="00583B08"/>
    <w:rsid w:val="005C35AE"/>
    <w:rsid w:val="005F20D5"/>
    <w:rsid w:val="005F2518"/>
    <w:rsid w:val="00632E57"/>
    <w:rsid w:val="0063720C"/>
    <w:rsid w:val="00680968"/>
    <w:rsid w:val="007670EA"/>
    <w:rsid w:val="00786278"/>
    <w:rsid w:val="007B0BEF"/>
    <w:rsid w:val="007D3599"/>
    <w:rsid w:val="007E2294"/>
    <w:rsid w:val="007E4818"/>
    <w:rsid w:val="007F79C6"/>
    <w:rsid w:val="0081400F"/>
    <w:rsid w:val="008452AF"/>
    <w:rsid w:val="008562E0"/>
    <w:rsid w:val="00894764"/>
    <w:rsid w:val="00901EED"/>
    <w:rsid w:val="00916624"/>
    <w:rsid w:val="00967653"/>
    <w:rsid w:val="009B4336"/>
    <w:rsid w:val="009E3AE7"/>
    <w:rsid w:val="00A26D2C"/>
    <w:rsid w:val="00A339BC"/>
    <w:rsid w:val="00A44C60"/>
    <w:rsid w:val="00A55401"/>
    <w:rsid w:val="00B32560"/>
    <w:rsid w:val="00B71EBF"/>
    <w:rsid w:val="00BB549C"/>
    <w:rsid w:val="00BD7318"/>
    <w:rsid w:val="00BD7F64"/>
    <w:rsid w:val="00C13655"/>
    <w:rsid w:val="00C3480A"/>
    <w:rsid w:val="00CA7061"/>
    <w:rsid w:val="00CC6783"/>
    <w:rsid w:val="00CD65E1"/>
    <w:rsid w:val="00CF4D50"/>
    <w:rsid w:val="00D13AF7"/>
    <w:rsid w:val="00D33A23"/>
    <w:rsid w:val="00DA1696"/>
    <w:rsid w:val="00DA5ECD"/>
    <w:rsid w:val="00DA7D89"/>
    <w:rsid w:val="00DC3C53"/>
    <w:rsid w:val="00DE6521"/>
    <w:rsid w:val="00E02364"/>
    <w:rsid w:val="00E07DDA"/>
    <w:rsid w:val="00E53396"/>
    <w:rsid w:val="00F014A2"/>
    <w:rsid w:val="00F15A31"/>
    <w:rsid w:val="00F24A0E"/>
    <w:rsid w:val="00F5128B"/>
    <w:rsid w:val="00F5554F"/>
    <w:rsid w:val="00F84FF5"/>
    <w:rsid w:val="00FA75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37E0"/>
  <w15:chartTrackingRefBased/>
  <w15:docId w15:val="{E3C06C6A-C17F-45BD-AC84-3A0F6EBA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750B"/>
    <w:pPr>
      <w:spacing w:before="120" w:after="120" w:line="360" w:lineRule="auto"/>
      <w:jc w:val="both"/>
    </w:pPr>
    <w:rPr>
      <w:sz w:val="24"/>
    </w:rPr>
  </w:style>
  <w:style w:type="paragraph" w:styleId="Ttulo3">
    <w:name w:val="heading 3"/>
    <w:basedOn w:val="Normal"/>
    <w:next w:val="Normal"/>
    <w:link w:val="Ttulo3Char"/>
    <w:uiPriority w:val="9"/>
    <w:unhideWhenUsed/>
    <w:qFormat/>
    <w:rsid w:val="00967653"/>
    <w:pPr>
      <w:keepNext/>
      <w:keepLines/>
      <w:spacing w:before="200" w:after="160" w:line="276" w:lineRule="auto"/>
      <w:jc w:val="left"/>
      <w:outlineLvl w:val="2"/>
    </w:pPr>
    <w:rPr>
      <w:rFonts w:asciiTheme="majorHAnsi" w:eastAsiaTheme="majorEastAsia" w:hAnsiTheme="majorHAnsi" w:cstheme="majorBidi"/>
      <w:b/>
      <w:bCs/>
      <w:color w:val="A21612"/>
      <w:sz w:val="31"/>
      <w:lang w:val="en-US"/>
    </w:rPr>
  </w:style>
  <w:style w:type="paragraph" w:styleId="Ttulo7">
    <w:name w:val="heading 7"/>
    <w:basedOn w:val="Normal"/>
    <w:next w:val="Normal"/>
    <w:link w:val="Ttulo7Char"/>
    <w:uiPriority w:val="9"/>
    <w:semiHidden/>
    <w:unhideWhenUsed/>
    <w:qFormat/>
    <w:rsid w:val="00786278"/>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FA750B"/>
    <w:pPr>
      <w:spacing w:before="0" w:after="140" w:line="276" w:lineRule="auto"/>
    </w:pPr>
  </w:style>
  <w:style w:type="character" w:customStyle="1" w:styleId="CorpodetextoChar">
    <w:name w:val="Corpo de texto Char"/>
    <w:basedOn w:val="Fontepargpadro"/>
    <w:link w:val="Corpodetexto"/>
    <w:rsid w:val="00FA750B"/>
    <w:rPr>
      <w:sz w:val="24"/>
    </w:rPr>
  </w:style>
  <w:style w:type="character" w:styleId="Refdecomentrio">
    <w:name w:val="annotation reference"/>
    <w:basedOn w:val="Fontepargpadro"/>
    <w:uiPriority w:val="99"/>
    <w:semiHidden/>
    <w:unhideWhenUsed/>
    <w:qFormat/>
    <w:rsid w:val="00894764"/>
    <w:rPr>
      <w:sz w:val="16"/>
      <w:szCs w:val="16"/>
    </w:rPr>
  </w:style>
  <w:style w:type="character" w:customStyle="1" w:styleId="TextodecomentrioChar">
    <w:name w:val="Texto de comentário Char"/>
    <w:basedOn w:val="Fontepargpadro"/>
    <w:link w:val="Textodecomentrio"/>
    <w:uiPriority w:val="99"/>
    <w:qFormat/>
    <w:rsid w:val="00894764"/>
    <w:rPr>
      <w:szCs w:val="20"/>
    </w:rPr>
  </w:style>
  <w:style w:type="paragraph" w:styleId="Textodecomentrio">
    <w:name w:val="annotation text"/>
    <w:basedOn w:val="Normal"/>
    <w:link w:val="TextodecomentrioChar"/>
    <w:uiPriority w:val="99"/>
    <w:unhideWhenUsed/>
    <w:qFormat/>
    <w:rsid w:val="00894764"/>
    <w:pPr>
      <w:spacing w:line="240" w:lineRule="auto"/>
    </w:pPr>
    <w:rPr>
      <w:sz w:val="22"/>
      <w:szCs w:val="20"/>
    </w:rPr>
  </w:style>
  <w:style w:type="character" w:customStyle="1" w:styleId="TextodecomentrioChar1">
    <w:name w:val="Texto de comentário Char1"/>
    <w:basedOn w:val="Fontepargpadro"/>
    <w:uiPriority w:val="99"/>
    <w:semiHidden/>
    <w:rsid w:val="00894764"/>
    <w:rPr>
      <w:sz w:val="20"/>
      <w:szCs w:val="20"/>
    </w:rPr>
  </w:style>
  <w:style w:type="paragraph" w:styleId="Textodebalo">
    <w:name w:val="Balloon Text"/>
    <w:basedOn w:val="Normal"/>
    <w:link w:val="TextodebaloChar"/>
    <w:uiPriority w:val="99"/>
    <w:semiHidden/>
    <w:unhideWhenUsed/>
    <w:rsid w:val="00894764"/>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4764"/>
    <w:rPr>
      <w:rFonts w:ascii="Segoe UI" w:hAnsi="Segoe UI" w:cs="Segoe UI"/>
      <w:sz w:val="18"/>
      <w:szCs w:val="18"/>
    </w:rPr>
  </w:style>
  <w:style w:type="character" w:styleId="Hyperlink">
    <w:name w:val="Hyperlink"/>
    <w:basedOn w:val="Fontepargpadro"/>
    <w:uiPriority w:val="99"/>
    <w:unhideWhenUsed/>
    <w:rsid w:val="00F24A0E"/>
    <w:rPr>
      <w:color w:val="0563C1" w:themeColor="hyperlink"/>
      <w:u w:val="single"/>
    </w:rPr>
  </w:style>
  <w:style w:type="character" w:customStyle="1" w:styleId="Ttulo3Char">
    <w:name w:val="Título 3 Char"/>
    <w:basedOn w:val="Fontepargpadro"/>
    <w:link w:val="Ttulo3"/>
    <w:uiPriority w:val="9"/>
    <w:rsid w:val="00967653"/>
    <w:rPr>
      <w:rFonts w:asciiTheme="majorHAnsi" w:eastAsiaTheme="majorEastAsia" w:hAnsiTheme="majorHAnsi" w:cstheme="majorBidi"/>
      <w:b/>
      <w:bCs/>
      <w:color w:val="A21612"/>
      <w:sz w:val="31"/>
      <w:lang w:val="en-US"/>
    </w:rPr>
  </w:style>
  <w:style w:type="paragraph" w:styleId="PargrafodaLista">
    <w:name w:val="List Paragraph"/>
    <w:basedOn w:val="Normal"/>
    <w:uiPriority w:val="34"/>
    <w:qFormat/>
    <w:rsid w:val="00786278"/>
    <w:pPr>
      <w:ind w:left="720"/>
      <w:contextualSpacing/>
    </w:pPr>
  </w:style>
  <w:style w:type="character" w:customStyle="1" w:styleId="Ttulo7Char">
    <w:name w:val="Título 7 Char"/>
    <w:basedOn w:val="Fontepargpadro"/>
    <w:link w:val="Ttulo7"/>
    <w:uiPriority w:val="9"/>
    <w:semiHidden/>
    <w:rsid w:val="00786278"/>
    <w:rPr>
      <w:rFonts w:asciiTheme="majorHAnsi" w:eastAsiaTheme="majorEastAsia" w:hAnsiTheme="majorHAnsi" w:cstheme="majorBidi"/>
      <w:i/>
      <w:iCs/>
      <w:color w:val="1F3763" w:themeColor="accent1" w:themeShade="7F"/>
      <w:sz w:val="24"/>
    </w:rPr>
  </w:style>
  <w:style w:type="character" w:styleId="MenoPendente">
    <w:name w:val="Unresolved Mention"/>
    <w:basedOn w:val="Fontepargpadro"/>
    <w:uiPriority w:val="99"/>
    <w:semiHidden/>
    <w:unhideWhenUsed/>
    <w:rsid w:val="00786278"/>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786278"/>
    <w:rPr>
      <w:b/>
      <w:bCs/>
      <w:sz w:val="20"/>
    </w:rPr>
  </w:style>
  <w:style w:type="character" w:customStyle="1" w:styleId="AssuntodocomentrioChar">
    <w:name w:val="Assunto do comentário Char"/>
    <w:basedOn w:val="TextodecomentrioChar"/>
    <w:link w:val="Assuntodocomentrio"/>
    <w:uiPriority w:val="99"/>
    <w:semiHidden/>
    <w:rsid w:val="007862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756576">
      <w:bodyDiv w:val="1"/>
      <w:marLeft w:val="0"/>
      <w:marRight w:val="0"/>
      <w:marTop w:val="0"/>
      <w:marBottom w:val="0"/>
      <w:divBdr>
        <w:top w:val="none" w:sz="0" w:space="0" w:color="auto"/>
        <w:left w:val="none" w:sz="0" w:space="0" w:color="auto"/>
        <w:bottom w:val="none" w:sz="0" w:space="0" w:color="auto"/>
        <w:right w:val="none" w:sz="0" w:space="0" w:color="auto"/>
      </w:divBdr>
      <w:divsChild>
        <w:div w:id="1639846764">
          <w:marLeft w:val="0"/>
          <w:marRight w:val="0"/>
          <w:marTop w:val="0"/>
          <w:marBottom w:val="0"/>
          <w:divBdr>
            <w:top w:val="none" w:sz="0" w:space="0" w:color="auto"/>
            <w:left w:val="none" w:sz="0" w:space="0" w:color="auto"/>
            <w:bottom w:val="none" w:sz="0" w:space="0" w:color="auto"/>
            <w:right w:val="none" w:sz="0" w:space="0" w:color="auto"/>
          </w:divBdr>
          <w:divsChild>
            <w:div w:id="2360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3934">
      <w:bodyDiv w:val="1"/>
      <w:marLeft w:val="0"/>
      <w:marRight w:val="0"/>
      <w:marTop w:val="0"/>
      <w:marBottom w:val="0"/>
      <w:divBdr>
        <w:top w:val="none" w:sz="0" w:space="0" w:color="auto"/>
        <w:left w:val="none" w:sz="0" w:space="0" w:color="auto"/>
        <w:bottom w:val="none" w:sz="0" w:space="0" w:color="auto"/>
        <w:right w:val="none" w:sz="0" w:space="0" w:color="auto"/>
      </w:divBdr>
      <w:divsChild>
        <w:div w:id="592012790">
          <w:marLeft w:val="0"/>
          <w:marRight w:val="0"/>
          <w:marTop w:val="0"/>
          <w:marBottom w:val="0"/>
          <w:divBdr>
            <w:top w:val="none" w:sz="0" w:space="0" w:color="auto"/>
            <w:left w:val="none" w:sz="0" w:space="0" w:color="auto"/>
            <w:bottom w:val="none" w:sz="0" w:space="0" w:color="auto"/>
            <w:right w:val="none" w:sz="0" w:space="0" w:color="auto"/>
          </w:divBdr>
          <w:divsChild>
            <w:div w:id="2681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3721">
      <w:bodyDiv w:val="1"/>
      <w:marLeft w:val="0"/>
      <w:marRight w:val="0"/>
      <w:marTop w:val="0"/>
      <w:marBottom w:val="0"/>
      <w:divBdr>
        <w:top w:val="none" w:sz="0" w:space="0" w:color="auto"/>
        <w:left w:val="none" w:sz="0" w:space="0" w:color="auto"/>
        <w:bottom w:val="none" w:sz="0" w:space="0" w:color="auto"/>
        <w:right w:val="none" w:sz="0" w:space="0" w:color="auto"/>
      </w:divBdr>
      <w:divsChild>
        <w:div w:id="1741443783">
          <w:marLeft w:val="0"/>
          <w:marRight w:val="0"/>
          <w:marTop w:val="0"/>
          <w:marBottom w:val="0"/>
          <w:divBdr>
            <w:top w:val="none" w:sz="0" w:space="0" w:color="auto"/>
            <w:left w:val="none" w:sz="0" w:space="0" w:color="auto"/>
            <w:bottom w:val="none" w:sz="0" w:space="0" w:color="auto"/>
            <w:right w:val="none" w:sz="0" w:space="0" w:color="auto"/>
          </w:divBdr>
          <w:divsChild>
            <w:div w:id="11322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671">
      <w:bodyDiv w:val="1"/>
      <w:marLeft w:val="0"/>
      <w:marRight w:val="0"/>
      <w:marTop w:val="0"/>
      <w:marBottom w:val="0"/>
      <w:divBdr>
        <w:top w:val="none" w:sz="0" w:space="0" w:color="auto"/>
        <w:left w:val="none" w:sz="0" w:space="0" w:color="auto"/>
        <w:bottom w:val="none" w:sz="0" w:space="0" w:color="auto"/>
        <w:right w:val="none" w:sz="0" w:space="0" w:color="auto"/>
      </w:divBdr>
      <w:divsChild>
        <w:div w:id="1564944946">
          <w:marLeft w:val="0"/>
          <w:marRight w:val="0"/>
          <w:marTop w:val="0"/>
          <w:marBottom w:val="0"/>
          <w:divBdr>
            <w:top w:val="none" w:sz="0" w:space="0" w:color="auto"/>
            <w:left w:val="none" w:sz="0" w:space="0" w:color="auto"/>
            <w:bottom w:val="none" w:sz="0" w:space="0" w:color="auto"/>
            <w:right w:val="none" w:sz="0" w:space="0" w:color="auto"/>
          </w:divBdr>
          <w:divsChild>
            <w:div w:id="7241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9830">
      <w:bodyDiv w:val="1"/>
      <w:marLeft w:val="0"/>
      <w:marRight w:val="0"/>
      <w:marTop w:val="0"/>
      <w:marBottom w:val="0"/>
      <w:divBdr>
        <w:top w:val="none" w:sz="0" w:space="0" w:color="auto"/>
        <w:left w:val="none" w:sz="0" w:space="0" w:color="auto"/>
        <w:bottom w:val="none" w:sz="0" w:space="0" w:color="auto"/>
        <w:right w:val="none" w:sz="0" w:space="0" w:color="auto"/>
      </w:divBdr>
      <w:divsChild>
        <w:div w:id="1635142260">
          <w:marLeft w:val="0"/>
          <w:marRight w:val="0"/>
          <w:marTop w:val="0"/>
          <w:marBottom w:val="0"/>
          <w:divBdr>
            <w:top w:val="none" w:sz="0" w:space="0" w:color="auto"/>
            <w:left w:val="none" w:sz="0" w:space="0" w:color="auto"/>
            <w:bottom w:val="none" w:sz="0" w:space="0" w:color="auto"/>
            <w:right w:val="none" w:sz="0" w:space="0" w:color="auto"/>
          </w:divBdr>
          <w:divsChild>
            <w:div w:id="11101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4254">
      <w:bodyDiv w:val="1"/>
      <w:marLeft w:val="0"/>
      <w:marRight w:val="0"/>
      <w:marTop w:val="0"/>
      <w:marBottom w:val="0"/>
      <w:divBdr>
        <w:top w:val="none" w:sz="0" w:space="0" w:color="auto"/>
        <w:left w:val="none" w:sz="0" w:space="0" w:color="auto"/>
        <w:bottom w:val="none" w:sz="0" w:space="0" w:color="auto"/>
        <w:right w:val="none" w:sz="0" w:space="0" w:color="auto"/>
      </w:divBdr>
      <w:divsChild>
        <w:div w:id="438456091">
          <w:marLeft w:val="0"/>
          <w:marRight w:val="0"/>
          <w:marTop w:val="0"/>
          <w:marBottom w:val="0"/>
          <w:divBdr>
            <w:top w:val="none" w:sz="0" w:space="0" w:color="auto"/>
            <w:left w:val="none" w:sz="0" w:space="0" w:color="auto"/>
            <w:bottom w:val="none" w:sz="0" w:space="0" w:color="auto"/>
            <w:right w:val="none" w:sz="0" w:space="0" w:color="auto"/>
          </w:divBdr>
          <w:divsChild>
            <w:div w:id="178553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0401">
      <w:bodyDiv w:val="1"/>
      <w:marLeft w:val="0"/>
      <w:marRight w:val="0"/>
      <w:marTop w:val="0"/>
      <w:marBottom w:val="0"/>
      <w:divBdr>
        <w:top w:val="none" w:sz="0" w:space="0" w:color="auto"/>
        <w:left w:val="none" w:sz="0" w:space="0" w:color="auto"/>
        <w:bottom w:val="none" w:sz="0" w:space="0" w:color="auto"/>
        <w:right w:val="none" w:sz="0" w:space="0" w:color="auto"/>
      </w:divBdr>
      <w:divsChild>
        <w:div w:id="1374500477">
          <w:marLeft w:val="0"/>
          <w:marRight w:val="0"/>
          <w:marTop w:val="0"/>
          <w:marBottom w:val="0"/>
          <w:divBdr>
            <w:top w:val="none" w:sz="0" w:space="0" w:color="auto"/>
            <w:left w:val="none" w:sz="0" w:space="0" w:color="auto"/>
            <w:bottom w:val="none" w:sz="0" w:space="0" w:color="auto"/>
            <w:right w:val="none" w:sz="0" w:space="0" w:color="auto"/>
          </w:divBdr>
          <w:divsChild>
            <w:div w:id="16438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asil.un.org/pt-br/sd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jmg.jus.br/data/files/8A/A0/2C/2B/B3FAB810CC27F9B82D28CCA8/MANUAL%20%20Ref_07Nov23_FINAL.pdf" TargetMode="External"/><Relationship Id="rId5" Type="http://schemas.openxmlformats.org/officeDocument/2006/relationships/hyperlink" Target="https://www.tjmg.jus.br/data/files/CD/71/C5/37/B9EBA810AC81D5A82C08CCA8/Organograma%20da%20Secretaria%20TJMG%20-%20Setembro%20-%202023.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25</Pages>
  <Words>6849</Words>
  <Characters>36986</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Augusto Eller</dc:creator>
  <cp:keywords/>
  <dc:description/>
  <cp:lastModifiedBy>Daniel Augusto Eller</cp:lastModifiedBy>
  <cp:revision>121</cp:revision>
  <dcterms:created xsi:type="dcterms:W3CDTF">2025-11-05T14:14:00Z</dcterms:created>
  <dcterms:modified xsi:type="dcterms:W3CDTF">2025-11-11T19:45:00Z</dcterms:modified>
</cp:coreProperties>
</file>