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jc w:val="center"/>
      </w:pPr>
      <w:r>
        <w:rPr>
          <w:rFonts w:ascii="Bahnschrift SemiCondensed" w:hAnsi="Bahnschrift SemiCondensed"/>
          <w:b/>
          <w:sz w:val="40"/>
        </w:rPr>
        <w:t>RELATÓRIO DIAGNÓSTICO DO TRIBUNAL</w:t>
      </w:r>
    </w:p>
    <w:p>
      <w:pPr>
        <w:jc w:val="center"/>
      </w:pPr>
      <w:r>
        <w:rPr>
          <w:rFonts w:ascii="Bahnschrift SemiCondensed" w:hAnsi="Bahnschrift SemiCondensed"/>
          <w:b/>
          <w:sz w:val="40"/>
        </w:rPr>
        <w:t>DE JUSTIÇA DO ESTADO DE MINAS GERAIS – TJMG</w:t>
      </w:r>
    </w:p>
    <w:p>
      <w:pPr>
        <w:spacing w:before="960" w:after="960"/>
        <w:jc w:val="center"/>
      </w:pPr>
      <w:r>
        <w:rPr>
          <w:rFonts w:ascii="Bahnschrift SemiCondensed" w:hAnsi="Bahnschrift SemiCondensed"/>
          <w:b/>
          <w:sz w:val="40"/>
        </w:rPr>
        <w:t>2025</w:t>
      </w:r>
    </w:p>
    <w:p>
      <w:pPr>
        <w:spacing w:after="5600"/>
        <w:jc w:val="center"/>
      </w:pPr>
      <w:r>
        <w:rPr>
          <w:rFonts w:ascii="Bahnschrift SemiCondensed" w:hAnsi="Bahnschrift SemiCondensed"/>
          <w:b/>
          <w:sz w:val="40"/>
        </w:rPr>
        <w:t>PLANEJAMENTO ESTRATÉGICO 2021-2026</w:t>
      </w:r>
    </w:p>
    <w:p>
      <w:pPr>
        <w:jc w:val="center"/>
      </w:pPr>
      <w:r>
        <w:rPr>
          <w:rFonts w:ascii="Bahnschrift SemiCondensed" w:hAnsi="Bahnschrift SemiCondensed"/>
          <w:b/>
          <w:sz w:val="28"/>
        </w:rPr>
        <w:t>DEPLAG - TJMG</w:t>
      </w:r>
    </w:p>
    <w:p>
      <w:pPr>
        <w:jc w:val="center"/>
      </w:pPr>
      <w:r>
        <w:rPr>
          <w:rFonts w:ascii="Bahnschrift SemiCondensed" w:hAnsi="Bahnschrift SemiCondensed"/>
          <w:b/>
          <w:sz w:val="28"/>
        </w:rPr>
        <w:t>JANEIRO DE 2025</w:t>
      </w:r>
    </w:p>
    <w:p>
      <w:r>
        <w:br w:type="page"/>
      </w:r>
    </w:p>
    <w:p>
      <w:pPr>
        <w:pStyle w:val="Heading1"/>
      </w:pPr>
      <w:r>
        <w:t>Sumário</w:t>
      </w:r>
    </w:p>
    <w:p>
      <w:pPr>
        <w:spacing w:line="300" w:lineRule="auto" w:after="160"/>
        <w:ind w:left="0"/>
      </w:pPr>
      <w:r>
        <w:rPr>
          <w:rFonts w:ascii="Calibri" w:hAnsi="Calibri"/>
          <w:b/>
        </w:rPr>
        <w:t>1 INTRODUÇÃO</w:t>
      </w:r>
    </w:p>
    <w:p>
      <w:pPr>
        <w:spacing w:line="300" w:lineRule="auto" w:after="160"/>
        <w:ind w:left="0"/>
      </w:pPr>
      <w:r>
        <w:rPr>
          <w:rFonts w:ascii="Calibri" w:hAnsi="Calibri"/>
          <w:b/>
        </w:rPr>
        <w:t>2 INFORMAÇÕES SOBRE O ESTADO DE MINAS GERAIS</w:t>
      </w:r>
    </w:p>
    <w:p>
      <w:pPr>
        <w:spacing w:line="300" w:lineRule="auto" w:after="160"/>
        <w:ind w:left="0"/>
      </w:pPr>
      <w:r>
        <w:rPr>
          <w:rFonts w:ascii="Calibri" w:hAnsi="Calibri"/>
          <w:b/>
        </w:rPr>
        <w:t>3 PERFIL INSTITUCIONAL</w:t>
      </w:r>
    </w:p>
    <w:p>
      <w:pPr>
        <w:spacing w:line="300" w:lineRule="auto" w:after="160"/>
        <w:ind w:left="288"/>
      </w:pPr>
      <w:r>
        <w:rPr>
          <w:rFonts w:ascii="Calibri" w:hAnsi="Calibri"/>
          <w:b/>
        </w:rPr>
        <w:t>3.1 Principais Atos Normativos Referentes à Estrutura do TJMG</w:t>
      </w:r>
    </w:p>
    <w:p>
      <w:pPr>
        <w:spacing w:line="300" w:lineRule="auto" w:after="160"/>
        <w:ind w:left="288"/>
      </w:pPr>
      <w:r>
        <w:rPr>
          <w:rFonts w:ascii="Calibri" w:hAnsi="Calibri"/>
          <w:b/>
        </w:rPr>
        <w:t>3.2 Estrutura e Força de Trabalho do TJMG</w:t>
      </w:r>
    </w:p>
    <w:p>
      <w:pPr>
        <w:spacing w:line="300" w:lineRule="auto" w:after="160"/>
        <w:ind w:left="576"/>
      </w:pPr>
      <w:r>
        <w:rPr>
          <w:rFonts w:ascii="Calibri" w:hAnsi="Calibri"/>
          <w:b/>
        </w:rPr>
        <w:t>3.2.1 Força de Trabalho e Colaboradores na Área de TIC</w:t>
      </w:r>
    </w:p>
    <w:p>
      <w:pPr>
        <w:spacing w:line="300" w:lineRule="auto" w:after="160"/>
        <w:ind w:left="288"/>
      </w:pPr>
      <w:r>
        <w:rPr>
          <w:rFonts w:ascii="Calibri" w:hAnsi="Calibri"/>
          <w:b/>
        </w:rPr>
        <w:t>3.3 Movimentação Processual do Estado (TJMG)</w:t>
      </w:r>
    </w:p>
    <w:p>
      <w:pPr>
        <w:spacing w:line="300" w:lineRule="auto" w:after="160"/>
        <w:ind w:left="288"/>
      </w:pPr>
      <w:r>
        <w:rPr>
          <w:rFonts w:ascii="Calibri" w:hAnsi="Calibri"/>
          <w:b/>
        </w:rPr>
        <w:t>3.4 Instalações Prediais</w:t>
      </w:r>
    </w:p>
    <w:p>
      <w:pPr>
        <w:spacing w:line="300" w:lineRule="auto" w:after="160"/>
        <w:ind w:left="288"/>
      </w:pPr>
      <w:r>
        <w:rPr>
          <w:rFonts w:ascii="Calibri" w:hAnsi="Calibri"/>
          <w:b/>
        </w:rPr>
        <w:t>3.5 Orçamento TJMG</w:t>
      </w:r>
    </w:p>
    <w:p>
      <w:pPr>
        <w:spacing w:line="300" w:lineRule="auto" w:after="160"/>
        <w:ind w:left="576"/>
      </w:pPr>
      <w:r>
        <w:rPr>
          <w:rFonts w:ascii="Calibri" w:hAnsi="Calibri"/>
          <w:b/>
        </w:rPr>
        <w:t>3.5.1 Execução Orçamentária de 2024</w:t>
      </w:r>
    </w:p>
    <w:p>
      <w:pPr>
        <w:spacing w:line="300" w:lineRule="auto" w:after="160"/>
        <w:ind w:left="576"/>
      </w:pPr>
      <w:r>
        <w:rPr>
          <w:rFonts w:ascii="Calibri" w:hAnsi="Calibri"/>
          <w:b/>
        </w:rPr>
        <w:t>3.5.2 Orçamento 2025</w:t>
      </w:r>
    </w:p>
    <w:p>
      <w:pPr>
        <w:spacing w:line="300" w:lineRule="auto" w:after="160"/>
        <w:ind w:left="288"/>
      </w:pPr>
      <w:r>
        <w:rPr>
          <w:rFonts w:ascii="Calibri" w:hAnsi="Calibri"/>
          <w:b/>
        </w:rPr>
        <w:t>3.6 Planejamento Estratégico 2021-2026</w:t>
      </w:r>
    </w:p>
    <w:p>
      <w:pPr>
        <w:spacing w:line="300" w:lineRule="auto" w:after="160"/>
        <w:ind w:left="576"/>
      </w:pPr>
      <w:r>
        <w:rPr>
          <w:rFonts w:ascii="Calibri" w:hAnsi="Calibri"/>
          <w:b/>
        </w:rPr>
        <w:t>3.6.1 Identidade Organizacional</w:t>
      </w:r>
    </w:p>
    <w:p>
      <w:pPr>
        <w:spacing w:line="300" w:lineRule="auto" w:after="160"/>
        <w:ind w:left="576"/>
      </w:pPr>
      <w:r>
        <w:rPr>
          <w:rFonts w:ascii="Calibri" w:hAnsi="Calibri"/>
          <w:b/>
        </w:rPr>
        <w:t>3.6.2 Mapa Estratégico</w:t>
      </w:r>
    </w:p>
    <w:p>
      <w:pPr>
        <w:spacing w:line="300" w:lineRule="auto" w:after="160"/>
        <w:ind w:left="576"/>
      </w:pPr>
      <w:r>
        <w:rPr>
          <w:rFonts w:ascii="Calibri" w:hAnsi="Calibri"/>
          <w:b/>
        </w:rPr>
        <w:t>3.6.3 Painel Estratégico</w:t>
      </w:r>
    </w:p>
    <w:p>
      <w:pPr>
        <w:spacing w:line="300" w:lineRule="auto" w:after="160"/>
        <w:ind w:left="576"/>
      </w:pPr>
      <w:r>
        <w:rPr>
          <w:rFonts w:ascii="Calibri" w:hAnsi="Calibri"/>
          <w:b/>
        </w:rPr>
        <w:t>3.6.4 Quadro de Iniciativas</w:t>
      </w:r>
    </w:p>
    <w:p>
      <w:pPr>
        <w:spacing w:line="300" w:lineRule="auto" w:after="160"/>
        <w:ind w:left="576"/>
      </w:pPr>
      <w:r>
        <w:rPr>
          <w:rFonts w:ascii="Calibri" w:hAnsi="Calibri"/>
          <w:b/>
        </w:rPr>
        <w:t>3.6.5 Objetivos de Desenvolvimento Sustentável – ODS da Agenda 2030</w:t>
      </w:r>
    </w:p>
    <w:p>
      <w:pPr>
        <w:spacing w:line="300" w:lineRule="auto" w:after="160"/>
        <w:ind w:left="576"/>
      </w:pPr>
      <w:r>
        <w:rPr>
          <w:rFonts w:ascii="Calibri" w:hAnsi="Calibri"/>
          <w:b/>
        </w:rPr>
        <w:t>3.6.6 Indicadores Nacionais de Desempenho do Poder Judiciário</w:t>
      </w:r>
    </w:p>
    <w:p>
      <w:pPr>
        <w:spacing w:line="300" w:lineRule="auto" w:after="160"/>
        <w:ind w:left="576"/>
      </w:pPr>
      <w:r>
        <w:rPr>
          <w:rFonts w:ascii="Calibri" w:hAnsi="Calibri"/>
          <w:b/>
        </w:rPr>
        <w:t>3.6.7 PROJEF 5.0</w:t>
      </w:r>
    </w:p>
    <w:p>
      <w:pPr>
        <w:spacing w:line="300" w:lineRule="auto" w:after="160"/>
        <w:ind w:left="576"/>
      </w:pPr>
      <w:r>
        <w:rPr>
          <w:rFonts w:ascii="Calibri" w:hAnsi="Calibri"/>
          <w:b/>
        </w:rPr>
        <w:t>3.6.8 Matriz de Priorização de Iniciativas Estratégicas</w:t>
      </w:r>
    </w:p>
    <w:p>
      <w:pPr>
        <w:spacing w:line="300" w:lineRule="auto" w:after="160"/>
        <w:ind w:left="288"/>
      </w:pPr>
      <w:r>
        <w:rPr>
          <w:rFonts w:ascii="Calibri" w:hAnsi="Calibri"/>
          <w:b/>
        </w:rPr>
        <w:t>3.7 Principais Grupos de Interesse</w:t>
      </w:r>
    </w:p>
    <w:p>
      <w:pPr>
        <w:spacing w:line="300" w:lineRule="auto" w:after="160"/>
        <w:ind w:left="288"/>
      </w:pPr>
      <w:r>
        <w:rPr>
          <w:rFonts w:ascii="Calibri" w:hAnsi="Calibri"/>
          <w:b/>
        </w:rPr>
        <w:t>3.8 Aspectos Tecnológicos do TJMG</w:t>
      </w:r>
    </w:p>
    <w:p>
      <w:pPr>
        <w:spacing w:line="300" w:lineRule="auto" w:after="160"/>
        <w:ind w:left="576"/>
      </w:pPr>
      <w:r>
        <w:rPr>
          <w:rFonts w:ascii="Calibri" w:hAnsi="Calibri"/>
          <w:b/>
        </w:rPr>
        <w:t>3.8.1 Sistema Eletrônico de Informações (SEI)</w:t>
      </w:r>
    </w:p>
    <w:p>
      <w:pPr>
        <w:spacing w:line="300" w:lineRule="auto" w:after="160"/>
        <w:ind w:left="288"/>
      </w:pPr>
      <w:r>
        <w:rPr>
          <w:rFonts w:ascii="Calibri" w:hAnsi="Calibri"/>
          <w:b/>
        </w:rPr>
        <w:t>3.9 Atuação do TJMG com Impacto Social</w:t>
      </w:r>
    </w:p>
    <w:p>
      <w:pPr>
        <w:spacing w:line="300" w:lineRule="auto" w:after="160"/>
        <w:ind w:left="288"/>
      </w:pPr>
      <w:r>
        <w:rPr>
          <w:rFonts w:ascii="Calibri" w:hAnsi="Calibri"/>
          <w:b/>
        </w:rPr>
        <w:t>3.10 Comunicação Institucional - Ouvidoria</w:t>
      </w:r>
    </w:p>
    <w:p>
      <w:pPr>
        <w:spacing w:line="300" w:lineRule="auto" w:after="160"/>
        <w:ind w:left="0"/>
      </w:pPr>
      <w:r>
        <w:rPr>
          <w:rFonts w:ascii="Calibri" w:hAnsi="Calibri"/>
          <w:b/>
        </w:rPr>
        <w:t>4 DESEMPENHO INSTITUCIONAL</w:t>
      </w:r>
    </w:p>
    <w:p>
      <w:pPr>
        <w:spacing w:line="300" w:lineRule="auto" w:after="160"/>
        <w:ind w:left="288"/>
      </w:pPr>
      <w:r>
        <w:rPr>
          <w:rFonts w:ascii="Calibri" w:hAnsi="Calibri"/>
          <w:b/>
        </w:rPr>
        <w:t>4.1 Desempenho do TJMG no Relatório “Justiça em Números”</w:t>
      </w:r>
    </w:p>
    <w:p>
      <w:pPr>
        <w:spacing w:line="300" w:lineRule="auto" w:after="160"/>
        <w:ind w:left="576"/>
      </w:pPr>
      <w:r>
        <w:rPr>
          <w:rFonts w:ascii="Calibri" w:hAnsi="Calibri"/>
          <w:b/>
        </w:rPr>
        <w:t>4.1.1 Resultados Positivos do TJMG Frente aos Tribunais Estaduais de Grande Porte - Destaques do Relatório “Justiça em Números - 2024”</w:t>
      </w:r>
    </w:p>
    <w:p>
      <w:pPr>
        <w:spacing w:line="300" w:lineRule="auto" w:after="160"/>
        <w:ind w:left="576"/>
      </w:pPr>
      <w:r>
        <w:rPr>
          <w:rFonts w:ascii="Calibri" w:hAnsi="Calibri"/>
          <w:b/>
        </w:rPr>
        <w:t>4.1.2 Oportunidades de Melhorias do TJMG Frente aos Tribunais Estaduais de Grande Porte - Destaques do Relatório “Justiça em Números - 2024”</w:t>
      </w:r>
    </w:p>
    <w:p>
      <w:pPr>
        <w:spacing w:line="300" w:lineRule="auto" w:after="160"/>
        <w:ind w:left="288"/>
      </w:pPr>
      <w:r>
        <w:rPr>
          <w:rFonts w:ascii="Calibri" w:hAnsi="Calibri"/>
          <w:b/>
        </w:rPr>
        <w:t>4.2 Desempenho do TJMG no Planejamento Estratégico 2024</w:t>
      </w:r>
    </w:p>
    <w:p>
      <w:pPr>
        <w:spacing w:line="300" w:lineRule="auto" w:after="160"/>
        <w:ind w:left="576"/>
      </w:pPr>
      <w:r>
        <w:rPr>
          <w:rFonts w:ascii="Calibri" w:hAnsi="Calibri"/>
          <w:b/>
        </w:rPr>
        <w:t>4.2.1 Resultados das Metas Nacionais</w:t>
      </w:r>
    </w:p>
    <w:p>
      <w:pPr>
        <w:spacing w:line="300" w:lineRule="auto" w:after="160"/>
        <w:ind w:left="576"/>
      </w:pPr>
      <w:r>
        <w:rPr>
          <w:rFonts w:ascii="Calibri" w:hAnsi="Calibri"/>
          <w:b/>
        </w:rPr>
        <w:t>4.2.2 Resultados das Metas Institucionais</w:t>
      </w:r>
    </w:p>
    <w:p>
      <w:pPr>
        <w:spacing w:line="300" w:lineRule="auto" w:after="160"/>
        <w:ind w:left="0"/>
      </w:pPr>
      <w:r>
        <w:rPr>
          <w:rFonts w:ascii="Calibri" w:hAnsi="Calibri"/>
          <w:b/>
        </w:rPr>
        <w:t>5 Performance do TJMG no Balanço Socioambiental do Poder Judiciário</w:t>
      </w:r>
    </w:p>
    <w:p>
      <w:pPr>
        <w:spacing w:line="300" w:lineRule="auto" w:after="160"/>
        <w:ind w:left="288"/>
      </w:pPr>
      <w:r>
        <w:rPr>
          <w:rFonts w:ascii="Calibri" w:hAnsi="Calibri"/>
          <w:b/>
        </w:rPr>
        <w:t>5.1 Destaques da Sustentabilidade no TJMG em 2024</w:t>
      </w:r>
    </w:p>
    <w:p>
      <w:pPr>
        <w:spacing w:line="300" w:lineRule="auto" w:after="160"/>
        <w:ind w:left="288"/>
      </w:pPr>
      <w:r>
        <w:rPr>
          <w:rFonts w:ascii="Calibri" w:hAnsi="Calibri"/>
          <w:b/>
        </w:rPr>
        <w:t>5.2 Oportunidades de Melhoria no Desempenho Socioambiental</w:t>
      </w:r>
    </w:p>
    <w:p>
      <w:pPr>
        <w:spacing w:line="300" w:lineRule="auto" w:after="160"/>
        <w:ind w:left="0"/>
      </w:pPr>
      <w:r>
        <w:rPr>
          <w:rFonts w:ascii="Calibri" w:hAnsi="Calibri"/>
          <w:b/>
        </w:rPr>
        <w:t>6 Resultados da Acessibilidade e Inclusão de Pessoas com Deficiência</w:t>
      </w:r>
    </w:p>
    <w:p>
      <w:pPr>
        <w:spacing w:line="300" w:lineRule="auto" w:after="160"/>
        <w:ind w:left="0"/>
      </w:pPr>
      <w:r>
        <w:rPr>
          <w:rFonts w:ascii="Calibri" w:hAnsi="Calibri"/>
          <w:b/>
        </w:rPr>
        <w:t>7 Resultado no Ranking da Transparência</w:t>
      </w:r>
    </w:p>
    <w:p>
      <w:pPr>
        <w:spacing w:line="300" w:lineRule="auto" w:after="160"/>
        <w:ind w:left="0"/>
      </w:pPr>
      <w:r>
        <w:rPr>
          <w:rFonts w:ascii="Calibri" w:hAnsi="Calibri"/>
          <w:b/>
        </w:rPr>
        <w:t>8 Avaliação do TJMG no iGovTIC-JUD</w:t>
      </w:r>
    </w:p>
    <w:p>
      <w:pPr>
        <w:spacing w:line="300" w:lineRule="auto" w:after="160"/>
        <w:ind w:left="0"/>
      </w:pPr>
      <w:r>
        <w:rPr>
          <w:rFonts w:ascii="Calibri" w:hAnsi="Calibri"/>
          <w:b/>
        </w:rPr>
        <w:t>9 O TJMG e a Base Nacional de Dados do Poder Judiciário (DataJud)</w:t>
      </w:r>
    </w:p>
    <w:p>
      <w:pPr>
        <w:spacing w:line="300" w:lineRule="auto" w:after="160"/>
        <w:ind w:left="288"/>
      </w:pPr>
      <w:r>
        <w:rPr>
          <w:rFonts w:ascii="Calibri" w:hAnsi="Calibri"/>
          <w:b/>
        </w:rPr>
        <w:t>9.1 Desempenho no Prêmio CNJ de Qualidade 2024</w:t>
      </w:r>
    </w:p>
    <w:p>
      <w:pPr>
        <w:spacing w:line="300" w:lineRule="auto" w:after="160"/>
        <w:ind w:left="0"/>
      </w:pPr>
      <w:r>
        <w:rPr>
          <w:rFonts w:ascii="Calibri" w:hAnsi="Calibri"/>
          <w:b/>
        </w:rPr>
        <w:t>10 Pesquisa sobre Percepção e Avaliação do Poder Judiciário Brasileiro</w:t>
      </w:r>
    </w:p>
    <w:p>
      <w:pPr>
        <w:spacing w:line="300" w:lineRule="auto" w:after="160"/>
        <w:ind w:left="0"/>
      </w:pPr>
      <w:r>
        <w:rPr>
          <w:rFonts w:ascii="Calibri" w:hAnsi="Calibri"/>
          <w:b/>
        </w:rPr>
        <w:t>11 CONCLUSÃO</w:t>
      </w:r>
    </w:p>
    <w:p>
      <w:r>
        <w:br w:type="page"/>
      </w:r>
    </w:p>
    <w:p>
      <w:pPr>
        <w:pStyle w:val="Heading1"/>
        <w:spacing w:after="400"/>
      </w:pPr>
      <w:r>
        <w:t>1. INTRODUÇÃO</w:t>
      </w:r>
    </w:p>
    <w:p>
      <w:pPr>
        <w:pStyle w:val="Heading1"/>
        <w:spacing w:after="400"/>
      </w:pPr>
      <w:r>
        <w:t>2. INFORMAÇÕES SOBRE O ESTADO DE MINAS GERAIS</w:t>
      </w:r>
    </w:p>
    <w:p>
      <w:pPr>
        <w:pStyle w:val="Heading1"/>
        <w:spacing w:after="400"/>
      </w:pPr>
      <w:r>
        <w:t>3. PERFIL INSTITUCIONAL</w:t>
      </w:r>
    </w:p>
    <w:p>
      <w:pPr>
        <w:pStyle w:val="Heading2"/>
        <w:spacing w:after="400"/>
      </w:pPr>
      <w:r>
        <w:t>3.1 Principais Atos Normativos Referentes à Estrutura do TJMG</w:t>
      </w:r>
    </w:p>
    <w:p>
      <w:pPr>
        <w:spacing w:line="360" w:lineRule="auto" w:after="160"/>
        <w:jc w:val="both"/>
      </w:pPr>
      <w:r>
        <w:t>São elencados abaixo os principais atos normativos que regulamentam a estrutura e o funcionamento do TJMG.</w:t>
      </w:r>
    </w:p>
    <w:tbl>
      <w:tblPr>
        <w:tblStyle w:val="TableGrid"/>
        <w:tblW w:type="auto" w:w="0"/>
        <w:jc w:val="left"/>
        <w:tblLook w:firstColumn="1" w:firstRow="1" w:lastColumn="0" w:lastRow="0" w:noHBand="0" w:noVBand="1" w:val="04A0"/>
      </w:tblPr>
      <w:tblGrid>
        <w:gridCol w:w="2835"/>
        <w:gridCol w:w="9071"/>
      </w:tblGrid>
      <w:tr>
        <w:trPr>
          <w:trHeight w:val="340" w:hRule="atLeast"/>
          <w:tblHeader/>
        </w:trPr>
        <w:tc>
          <w:tcPr>
            <w:tcW w:type="dxa" w:w="4702"/>
            <w:vAlign w:val="center"/>
            <w:shd w:fill="7F7F7F"/>
          </w:tcPr>
          <w:p>
            <w:pPr>
              <w:jc w:val="center"/>
            </w:pPr>
            <w:r/>
            <w:r>
              <w:rPr>
                <w:rFonts w:ascii="Calibri" w:hAnsi="Calibri"/>
                <w:b/>
                <w:color w:val="FFFFFF"/>
                <w:sz w:val="24"/>
              </w:rPr>
              <w:t>Ato Normativo</w:t>
            </w:r>
          </w:p>
        </w:tc>
        <w:tc>
          <w:tcPr>
            <w:tcW w:type="dxa" w:w="4702"/>
            <w:vAlign w:val="center"/>
            <w:shd w:fill="7F7F7F"/>
          </w:tcPr>
          <w:p>
            <w:pPr>
              <w:jc w:val="center"/>
            </w:pPr>
            <w:r/>
            <w:r>
              <w:rPr>
                <w:rFonts w:ascii="Calibri" w:hAnsi="Calibri"/>
                <w:b/>
                <w:color w:val="FFFFFF"/>
                <w:sz w:val="24"/>
              </w:rPr>
              <w:t>Estrutura</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Lei Complementar nº 59/2001</w:t>
            </w:r>
          </w:p>
        </w:tc>
        <w:tc>
          <w:tcPr>
            <w:tcW w:type="dxa" w:w="9071"/>
            <w:vAlign w:val="center"/>
          </w:tcPr>
          <w:p>
            <w:pPr>
              <w:spacing w:after="160" w:line="240" w:lineRule="auto"/>
              <w:jc w:val="left"/>
            </w:pPr>
            <w:r/>
            <w:r>
              <w:rPr>
                <w:rFonts w:ascii="Calibri" w:hAnsi="Calibri"/>
                <w:b w:val="0"/>
                <w:color w:val="000000"/>
                <w:sz w:val="24"/>
              </w:rPr>
              <w:t>Contém a organização e a divisão judiciárias do Estado de Minas Gerais.</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do Tribunal Pleno nº 03/2012</w:t>
            </w:r>
          </w:p>
        </w:tc>
        <w:tc>
          <w:tcPr>
            <w:tcW w:type="dxa" w:w="9071"/>
            <w:vAlign w:val="center"/>
            <w:shd w:fill="EEEEEE"/>
          </w:tcPr>
          <w:p>
            <w:pPr>
              <w:spacing w:after="160" w:line="240" w:lineRule="auto"/>
              <w:jc w:val="left"/>
            </w:pPr>
            <w:r/>
            <w:r>
              <w:rPr>
                <w:rFonts w:ascii="Calibri" w:hAnsi="Calibri"/>
                <w:b w:val="0"/>
                <w:color w:val="000000"/>
                <w:sz w:val="24"/>
              </w:rPr>
              <w:t>Contém o Regimento Interno do Tribunal de Justiça.</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518/2007</w:t>
            </w:r>
          </w:p>
        </w:tc>
        <w:tc>
          <w:tcPr>
            <w:tcW w:type="dxa" w:w="9071"/>
            <w:vAlign w:val="center"/>
          </w:tcPr>
          <w:p>
            <w:pPr>
              <w:spacing w:after="160" w:line="240" w:lineRule="auto"/>
              <w:jc w:val="left"/>
            </w:pPr>
            <w:r/>
            <w:r>
              <w:rPr>
                <w:rFonts w:ascii="Calibri" w:hAnsi="Calibri"/>
                <w:b w:val="0"/>
                <w:color w:val="000000"/>
                <w:sz w:val="24"/>
              </w:rPr>
              <w:t>Dispõe sobre os níveis hierárquicos e as atribuições gerais das unidades organizacionais que integram a Secretaria do Tribunal de Justiça do Estado de Minas Gerais.</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522/2007</w:t>
            </w:r>
          </w:p>
        </w:tc>
        <w:tc>
          <w:tcPr>
            <w:tcW w:type="dxa" w:w="9071"/>
            <w:vAlign w:val="center"/>
            <w:shd w:fill="EEEEEE"/>
          </w:tcPr>
          <w:p>
            <w:pPr>
              <w:spacing w:after="160" w:line="240" w:lineRule="auto"/>
              <w:jc w:val="left"/>
            </w:pPr>
            <w:r/>
            <w:r>
              <w:rPr>
                <w:rFonts w:ascii="Calibri" w:hAnsi="Calibri"/>
                <w:b w:val="0"/>
                <w:color w:val="000000"/>
                <w:sz w:val="24"/>
              </w:rPr>
              <w:t>Dispõe sobre a Superintendência Administrativa:</w:t>
            </w:r>
          </w:p>
          <w:p>
            <w:pPr>
              <w:pStyle w:val="ListBullet"/>
              <w:jc w:val="left"/>
              <w:spacing w:line="240" w:lineRule="auto"/>
            </w:pPr>
            <w:r>
              <w:rPr>
                <w:rFonts w:ascii="Calibri" w:hAnsi="Calibri"/>
                <w:b w:val="0"/>
                <w:color w:val="000000"/>
                <w:sz w:val="24"/>
              </w:rPr>
              <w:t>Superintendente Administrativo;</w:t>
            </w:r>
          </w:p>
          <w:p>
            <w:pPr>
              <w:pStyle w:val="ListBullet"/>
              <w:jc w:val="left"/>
              <w:spacing w:line="240" w:lineRule="auto"/>
            </w:pPr>
            <w:r>
              <w:rPr>
                <w:rFonts w:ascii="Calibri" w:hAnsi="Calibri"/>
                <w:b w:val="0"/>
                <w:color w:val="000000"/>
                <w:sz w:val="24"/>
              </w:rPr>
              <w:t>Diretoria Executiva da Gestão de Bens, Serviços e Patrimônio;</w:t>
            </w:r>
          </w:p>
          <w:p>
            <w:pPr>
              <w:pStyle w:val="ListBullet"/>
              <w:jc w:val="left"/>
              <w:spacing w:line="240" w:lineRule="auto"/>
            </w:pPr>
            <w:r>
              <w:rPr>
                <w:rFonts w:ascii="Calibri" w:hAnsi="Calibri"/>
                <w:b w:val="0"/>
                <w:color w:val="000000"/>
                <w:sz w:val="24"/>
              </w:rPr>
              <w:t>Diretoria Executiva de Engenharia e Gestão Predial;</w:t>
            </w:r>
          </w:p>
          <w:p>
            <w:pPr>
              <w:pStyle w:val="ListBullet"/>
              <w:jc w:val="left"/>
              <w:spacing w:line="240" w:lineRule="auto"/>
            </w:pPr>
            <w:r>
              <w:rPr>
                <w:rFonts w:ascii="Calibri" w:hAnsi="Calibri"/>
                <w:b w:val="0"/>
                <w:color w:val="000000"/>
                <w:sz w:val="24"/>
              </w:rPr>
              <w:t>Diretoria Executiva de Informática.</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557/2008</w:t>
            </w:r>
          </w:p>
        </w:tc>
        <w:tc>
          <w:tcPr>
            <w:tcW w:type="dxa" w:w="9071"/>
            <w:vAlign w:val="center"/>
          </w:tcPr>
          <w:p>
            <w:pPr>
              <w:spacing w:after="160" w:line="240" w:lineRule="auto"/>
              <w:jc w:val="left"/>
            </w:pPr>
            <w:r/>
            <w:r>
              <w:rPr>
                <w:rFonts w:ascii="Calibri" w:hAnsi="Calibri"/>
                <w:b w:val="0"/>
                <w:color w:val="000000"/>
                <w:sz w:val="24"/>
              </w:rPr>
              <w:t>Dispõe sobre a criação da Comissão Estadual Judiciária de Adoção, CEJA-MG.</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640/2010</w:t>
            </w:r>
          </w:p>
        </w:tc>
        <w:tc>
          <w:tcPr>
            <w:tcW w:type="dxa" w:w="9071"/>
            <w:vAlign w:val="center"/>
            <w:shd w:fill="EEEEEE"/>
          </w:tcPr>
          <w:p>
            <w:pPr>
              <w:spacing w:after="160" w:line="240" w:lineRule="auto"/>
              <w:jc w:val="left"/>
            </w:pPr>
            <w:r/>
            <w:r>
              <w:rPr>
                <w:rFonts w:ascii="Calibri" w:hAnsi="Calibri"/>
                <w:b w:val="0"/>
                <w:color w:val="000000"/>
                <w:sz w:val="24"/>
              </w:rPr>
              <w:t>Cria a Coordenadoria da Infância e da Juventude.</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673/2011</w:t>
            </w:r>
          </w:p>
        </w:tc>
        <w:tc>
          <w:tcPr>
            <w:tcW w:type="dxa" w:w="9071"/>
            <w:vAlign w:val="center"/>
          </w:tcPr>
          <w:p>
            <w:pPr>
              <w:spacing w:after="160" w:line="240" w:lineRule="auto"/>
              <w:jc w:val="left"/>
            </w:pPr>
            <w:r/>
            <w:r>
              <w:rPr>
                <w:rFonts w:ascii="Calibri" w:hAnsi="Calibri"/>
                <w:b w:val="0"/>
                <w:color w:val="000000"/>
                <w:sz w:val="24"/>
              </w:rPr>
              <w:t>Cria a Coordenadoria da Mulher em Situação de Violência Doméstica e Familiar.</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821/2016</w:t>
            </w:r>
          </w:p>
        </w:tc>
        <w:tc>
          <w:tcPr>
            <w:tcW w:type="dxa" w:w="9071"/>
            <w:vAlign w:val="center"/>
            <w:shd w:fill="EEEEEE"/>
          </w:tcPr>
          <w:p>
            <w:pPr>
              <w:spacing w:after="160" w:line="240" w:lineRule="auto"/>
              <w:jc w:val="left"/>
            </w:pPr>
            <w:r/>
            <w:r>
              <w:rPr>
                <w:rFonts w:ascii="Calibri" w:hAnsi="Calibri"/>
                <w:b w:val="0"/>
                <w:color w:val="000000"/>
                <w:sz w:val="24"/>
              </w:rPr>
              <w:t>Dispõe sobre a reestruturação da Corregedoria Geral de Justiça.</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862/2017</w:t>
            </w:r>
          </w:p>
        </w:tc>
        <w:tc>
          <w:tcPr>
            <w:tcW w:type="dxa" w:w="9071"/>
            <w:vAlign w:val="center"/>
          </w:tcPr>
          <w:p>
            <w:pPr>
              <w:spacing w:after="160" w:line="240" w:lineRule="auto"/>
              <w:jc w:val="left"/>
            </w:pPr>
            <w:r/>
            <w:r>
              <w:rPr>
                <w:rFonts w:ascii="Calibri" w:hAnsi="Calibri"/>
                <w:b w:val="0"/>
                <w:color w:val="000000"/>
                <w:sz w:val="24"/>
              </w:rPr>
              <w:t>Dispõe sobre a estrutura e o funcionamento da Ouvidoria do Tribunal de Justiça do Estado de Minas Gerais.</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873/2018</w:t>
            </w:r>
          </w:p>
        </w:tc>
        <w:tc>
          <w:tcPr>
            <w:tcW w:type="dxa" w:w="9071"/>
            <w:vAlign w:val="center"/>
            <w:shd w:fill="EEEEEE"/>
          </w:tcPr>
          <w:p>
            <w:pPr>
              <w:spacing w:after="160" w:line="240" w:lineRule="auto"/>
              <w:jc w:val="left"/>
            </w:pPr>
            <w:r/>
            <w:r>
              <w:rPr>
                <w:rFonts w:ascii="Calibri" w:hAnsi="Calibri"/>
                <w:b w:val="0"/>
                <w:color w:val="000000"/>
                <w:sz w:val="24"/>
              </w:rPr>
              <w:t>Dispõe sobre a estrutura e o funcionamento do Núcleo Permanente de Métodos de Solução de Conflitos, da Superintendência da Gestão de Inovação e do órgão jurisdicional da Secretaria do Tribunal de Justiça diretamente vinculado à Terceira Vice-Presidência, e estabelece normas para a instalação dos Centros Judiciários de Solução de Conflitos e Cidadania.</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877/2018</w:t>
            </w:r>
          </w:p>
        </w:tc>
        <w:tc>
          <w:tcPr>
            <w:tcW w:type="dxa" w:w="9071"/>
            <w:vAlign w:val="center"/>
          </w:tcPr>
          <w:p>
            <w:pPr>
              <w:spacing w:after="160" w:line="240" w:lineRule="auto"/>
              <w:jc w:val="left"/>
            </w:pPr>
            <w:r/>
            <w:r>
              <w:rPr>
                <w:rFonts w:ascii="Calibri" w:hAnsi="Calibri"/>
                <w:b w:val="0"/>
                <w:color w:val="000000"/>
                <w:sz w:val="24"/>
              </w:rPr>
              <w:t>Instala, "ad referendum" do Órgão Especial, a 19ª Câmara Cível no Tribunal de Justiça.</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 878/2018</w:t>
            </w:r>
          </w:p>
        </w:tc>
        <w:tc>
          <w:tcPr>
            <w:tcW w:type="dxa" w:w="9071"/>
            <w:vAlign w:val="center"/>
            <w:shd w:fill="EEEEEE"/>
          </w:tcPr>
          <w:p>
            <w:pPr>
              <w:spacing w:after="160" w:line="240" w:lineRule="auto"/>
              <w:jc w:val="left"/>
            </w:pPr>
            <w:r/>
            <w:r>
              <w:rPr>
                <w:rFonts w:ascii="Calibri" w:hAnsi="Calibri"/>
                <w:b w:val="0"/>
                <w:color w:val="000000"/>
                <w:sz w:val="24"/>
              </w:rPr>
              <w:t>Referenda a instalação da Câmara de que trata o art. 7º da Lei Complementar estadual nº 146, de 9 de janeiro de 2018, promovida pela Resolução nº 877, de 29 de junho de 2018.</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886/2019</w:t>
            </w:r>
          </w:p>
        </w:tc>
        <w:tc>
          <w:tcPr>
            <w:tcW w:type="dxa" w:w="9071"/>
            <w:vAlign w:val="center"/>
          </w:tcPr>
          <w:p>
            <w:pPr>
              <w:spacing w:after="160" w:line="240" w:lineRule="auto"/>
              <w:jc w:val="left"/>
            </w:pPr>
            <w:r/>
            <w:r>
              <w:rPr>
                <w:rFonts w:ascii="Calibri" w:hAnsi="Calibri"/>
                <w:b w:val="0"/>
                <w:color w:val="000000"/>
                <w:sz w:val="24"/>
              </w:rPr>
              <w:t>Determina a instalação da 8ª Câmara Criminal no Tribunal de Justiça.</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893/2019</w:t>
            </w:r>
          </w:p>
        </w:tc>
        <w:tc>
          <w:tcPr>
            <w:tcW w:type="dxa" w:w="9071"/>
            <w:vAlign w:val="center"/>
            <w:shd w:fill="EEEEEE"/>
          </w:tcPr>
          <w:p>
            <w:pPr>
              <w:spacing w:after="160" w:line="240" w:lineRule="auto"/>
              <w:jc w:val="left"/>
            </w:pPr>
            <w:r/>
            <w:r>
              <w:rPr>
                <w:rFonts w:ascii="Calibri" w:hAnsi="Calibri"/>
                <w:b w:val="0"/>
                <w:color w:val="000000"/>
                <w:sz w:val="24"/>
              </w:rPr>
              <w:t>Determina a instalação da 20ª Câmara Cível no Tribunal de Justiça.</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 969/2021</w:t>
            </w:r>
          </w:p>
        </w:tc>
        <w:tc>
          <w:tcPr>
            <w:tcW w:type="dxa" w:w="9071"/>
            <w:vAlign w:val="center"/>
          </w:tcPr>
          <w:p>
            <w:pPr>
              <w:spacing w:after="160" w:line="240" w:lineRule="auto"/>
              <w:jc w:val="left"/>
            </w:pPr>
            <w:r/>
            <w:r>
              <w:rPr>
                <w:rFonts w:ascii="Calibri" w:hAnsi="Calibri"/>
                <w:b w:val="0"/>
                <w:color w:val="000000"/>
                <w:sz w:val="24"/>
              </w:rPr>
              <w:t>Dispõe sobre os Comitês de Assessoramento à Presidência, estabelece a estrutura e o funcionamento das unidades organizacionais da Secretaria do Tribunal de Justiça diretamente vinculadas ou subordinadas à Presidência:</w:t>
            </w:r>
          </w:p>
          <w:p>
            <w:pPr>
              <w:pStyle w:val="ListBullet"/>
              <w:jc w:val="left"/>
              <w:spacing w:line="240" w:lineRule="auto"/>
            </w:pPr>
            <w:r>
              <w:rPr>
                <w:rFonts w:ascii="Calibri" w:hAnsi="Calibri"/>
                <w:b w:val="0"/>
                <w:color w:val="000000"/>
                <w:sz w:val="24"/>
              </w:rPr>
              <w:t>Comitê de Governança e Gestão Estratégica;</w:t>
            </w:r>
          </w:p>
          <w:p>
            <w:pPr>
              <w:pStyle w:val="ListBullet"/>
              <w:jc w:val="left"/>
              <w:spacing w:line="240" w:lineRule="auto"/>
            </w:pPr>
            <w:r>
              <w:rPr>
                <w:rFonts w:ascii="Calibri" w:hAnsi="Calibri"/>
                <w:b w:val="0"/>
                <w:color w:val="000000"/>
                <w:sz w:val="24"/>
              </w:rPr>
              <w:t>Comitê Executivo de Gestão Institucional;</w:t>
            </w:r>
          </w:p>
          <w:p>
            <w:pPr>
              <w:pStyle w:val="ListBullet"/>
              <w:jc w:val="left"/>
              <w:spacing w:line="240" w:lineRule="auto"/>
            </w:pPr>
            <w:r>
              <w:rPr>
                <w:rFonts w:ascii="Calibri" w:hAnsi="Calibri"/>
                <w:b w:val="0"/>
                <w:color w:val="000000"/>
                <w:sz w:val="24"/>
              </w:rPr>
              <w:t>Comitê Institucional de Inteligência;</w:t>
            </w:r>
          </w:p>
          <w:p>
            <w:pPr>
              <w:pStyle w:val="ListBullet"/>
              <w:jc w:val="left"/>
              <w:spacing w:line="240" w:lineRule="auto"/>
            </w:pPr>
            <w:r>
              <w:rPr>
                <w:rFonts w:ascii="Calibri" w:hAnsi="Calibri"/>
                <w:b w:val="0"/>
                <w:color w:val="000000"/>
                <w:sz w:val="24"/>
              </w:rPr>
              <w:t>Comitê de Monitoramento e Suporte à Prestação Jurisdicional;</w:t>
            </w:r>
          </w:p>
          <w:p>
            <w:pPr>
              <w:pStyle w:val="ListBullet"/>
              <w:jc w:val="left"/>
              <w:spacing w:line="240" w:lineRule="auto"/>
            </w:pPr>
            <w:r>
              <w:rPr>
                <w:rFonts w:ascii="Calibri" w:hAnsi="Calibri"/>
                <w:b w:val="0"/>
                <w:color w:val="000000"/>
                <w:sz w:val="24"/>
              </w:rPr>
              <w:t>Comitê de Tecnologia da Informação e Comunicação;</w:t>
            </w:r>
          </w:p>
          <w:p>
            <w:pPr>
              <w:pStyle w:val="ListBullet"/>
              <w:jc w:val="left"/>
              <w:spacing w:line="240" w:lineRule="auto"/>
            </w:pPr>
            <w:r>
              <w:rPr>
                <w:rFonts w:ascii="Calibri" w:hAnsi="Calibri"/>
                <w:b w:val="0"/>
                <w:color w:val="000000"/>
                <w:sz w:val="24"/>
              </w:rPr>
              <w:t>Comitê Gestor de Segurança da Informação;</w:t>
            </w:r>
          </w:p>
          <w:p>
            <w:pPr>
              <w:pStyle w:val="ListBullet"/>
              <w:jc w:val="left"/>
              <w:spacing w:line="240" w:lineRule="auto"/>
            </w:pPr>
            <w:r>
              <w:rPr>
                <w:rFonts w:ascii="Calibri" w:hAnsi="Calibri"/>
                <w:b w:val="0"/>
                <w:color w:val="000000"/>
                <w:sz w:val="24"/>
              </w:rPr>
              <w:t>Comitê Gestor da Política Judiciária para a Primeira Infância; (Alínea acrescentada pela Resolução do Órgão Especial nº 1052/2023).</w:t>
            </w:r>
          </w:p>
          <w:p>
            <w:pPr>
              <w:pStyle w:val="ListBullet"/>
              <w:jc w:val="left"/>
              <w:spacing w:line="240" w:lineRule="auto"/>
            </w:pPr>
            <w:r>
              <w:rPr>
                <w:rFonts w:ascii="Calibri" w:hAnsi="Calibri"/>
                <w:b w:val="0"/>
                <w:color w:val="000000"/>
                <w:sz w:val="24"/>
              </w:rPr>
              <w:t>Comitê Gestor Regional de Primeira Instância. (Alínea acrescentada pela Resolução do Órgão Especial nº 1063/2023).</w:t>
            </w:r>
          </w:p>
          <w:p>
            <w:pPr>
              <w:pStyle w:val="ListBullet"/>
              <w:jc w:val="left"/>
              <w:spacing w:line="240" w:lineRule="auto"/>
            </w:pPr>
            <w:r>
              <w:rPr>
                <w:rFonts w:ascii="Calibri" w:hAnsi="Calibri"/>
                <w:b w:val="0"/>
                <w:color w:val="000000"/>
                <w:sz w:val="24"/>
              </w:rPr>
              <w:t>Secretaria de Governança e Gestão Estratégica;</w:t>
            </w:r>
          </w:p>
          <w:p>
            <w:pPr>
              <w:pStyle w:val="ListBullet"/>
              <w:jc w:val="left"/>
              <w:spacing w:line="240" w:lineRule="auto"/>
            </w:pPr>
            <w:r>
              <w:rPr>
                <w:rFonts w:ascii="Calibri" w:hAnsi="Calibri"/>
                <w:b w:val="0"/>
                <w:color w:val="000000"/>
                <w:sz w:val="24"/>
              </w:rPr>
              <w:t>Diretoria Executiva de Comunicação;</w:t>
            </w:r>
          </w:p>
          <w:p>
            <w:pPr>
              <w:pStyle w:val="ListBullet"/>
              <w:jc w:val="left"/>
              <w:spacing w:line="240" w:lineRule="auto"/>
            </w:pPr>
            <w:r>
              <w:rPr>
                <w:rFonts w:ascii="Calibri" w:hAnsi="Calibri"/>
                <w:b w:val="0"/>
                <w:color w:val="000000"/>
                <w:sz w:val="24"/>
              </w:rPr>
              <w:t>Gabinete de Segurança Institucional;</w:t>
            </w:r>
          </w:p>
          <w:p>
            <w:pPr>
              <w:pStyle w:val="ListBullet"/>
              <w:jc w:val="left"/>
              <w:spacing w:line="240" w:lineRule="auto"/>
            </w:pPr>
            <w:r>
              <w:rPr>
                <w:rFonts w:ascii="Calibri" w:hAnsi="Calibri"/>
                <w:b w:val="0"/>
                <w:color w:val="000000"/>
                <w:sz w:val="24"/>
              </w:rPr>
              <w:t>Diretoria Executiva de Planejamento Orçamentário e Qualidade na Gestão Institucional;</w:t>
            </w:r>
          </w:p>
          <w:p>
            <w:pPr>
              <w:pStyle w:val="ListBullet"/>
              <w:jc w:val="left"/>
              <w:spacing w:line="240" w:lineRule="auto"/>
            </w:pPr>
            <w:r>
              <w:rPr>
                <w:rFonts w:ascii="Calibri" w:hAnsi="Calibri"/>
                <w:b w:val="0"/>
                <w:color w:val="000000"/>
                <w:sz w:val="24"/>
              </w:rPr>
              <w:t>Gerência de Suporte aos Juizados Especiais;</w:t>
            </w:r>
          </w:p>
          <w:p>
            <w:pPr>
              <w:pStyle w:val="ListBullet"/>
              <w:jc w:val="left"/>
              <w:spacing w:line="240" w:lineRule="auto"/>
            </w:pPr>
            <w:r>
              <w:rPr>
                <w:rFonts w:ascii="Calibri" w:hAnsi="Calibri"/>
                <w:b w:val="0"/>
                <w:color w:val="000000"/>
                <w:sz w:val="24"/>
              </w:rPr>
              <w:t>Secretaria do Órgão Especial;</w:t>
            </w:r>
          </w:p>
          <w:p>
            <w:pPr>
              <w:pStyle w:val="ListBullet"/>
              <w:jc w:val="left"/>
              <w:spacing w:line="240" w:lineRule="auto"/>
            </w:pPr>
            <w:r>
              <w:rPr>
                <w:rFonts w:ascii="Calibri" w:hAnsi="Calibri"/>
                <w:b w:val="0"/>
                <w:color w:val="000000"/>
                <w:sz w:val="24"/>
              </w:rPr>
              <w:t>Assessoria de Precatórios;</w:t>
            </w:r>
          </w:p>
          <w:p>
            <w:pPr>
              <w:pStyle w:val="ListBullet"/>
              <w:jc w:val="left"/>
              <w:spacing w:line="240" w:lineRule="auto"/>
            </w:pPr>
            <w:r>
              <w:rPr>
                <w:rFonts w:ascii="Calibri" w:hAnsi="Calibri"/>
                <w:b w:val="0"/>
                <w:color w:val="000000"/>
                <w:sz w:val="24"/>
              </w:rPr>
              <w:t>Secretaria de Auditoria Interna;</w:t>
            </w:r>
          </w:p>
          <w:p>
            <w:pPr>
              <w:pStyle w:val="ListBullet"/>
              <w:jc w:val="left"/>
              <w:spacing w:line="240" w:lineRule="auto"/>
            </w:pPr>
            <w:r>
              <w:rPr>
                <w:rFonts w:ascii="Calibri" w:hAnsi="Calibri"/>
                <w:b w:val="0"/>
                <w:color w:val="000000"/>
                <w:sz w:val="24"/>
              </w:rPr>
              <w:t>Memória do Judiciário.</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971/2021</w:t>
            </w:r>
          </w:p>
        </w:tc>
        <w:tc>
          <w:tcPr>
            <w:tcW w:type="dxa" w:w="9071"/>
            <w:vAlign w:val="center"/>
            <w:shd w:fill="EEEEEE"/>
          </w:tcPr>
          <w:p>
            <w:pPr>
              <w:spacing w:after="160" w:line="240" w:lineRule="auto"/>
              <w:jc w:val="left"/>
            </w:pPr>
            <w:r/>
            <w:r>
              <w:rPr>
                <w:rFonts w:ascii="Calibri" w:hAnsi="Calibri"/>
                <w:b w:val="0"/>
                <w:color w:val="000000"/>
                <w:sz w:val="24"/>
              </w:rPr>
              <w:t>Institui o Programa de Justiça Restaurativa e dispõe sobre a estrutura e funcionamento do Comitê de Justiça Restaurativa - COMJUR e da Central de Apoio à Justiça Restaurativa – CEAJUR.</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977/2021</w:t>
            </w:r>
          </w:p>
        </w:tc>
        <w:tc>
          <w:tcPr>
            <w:tcW w:type="dxa" w:w="9071"/>
            <w:vAlign w:val="center"/>
          </w:tcPr>
          <w:p>
            <w:pPr>
              <w:spacing w:after="160" w:line="240" w:lineRule="auto"/>
              <w:jc w:val="left"/>
            </w:pPr>
            <w:r/>
            <w:r>
              <w:rPr>
                <w:rFonts w:ascii="Calibri" w:hAnsi="Calibri"/>
                <w:b w:val="0"/>
                <w:color w:val="000000"/>
                <w:sz w:val="24"/>
              </w:rPr>
              <w:t>Determina a instalação da Vigésima Primeira Câmara Cível e da Nona Câmara Criminal, a especialização de Câmaras no Tribunal de Justiça.</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979/2021</w:t>
            </w:r>
          </w:p>
        </w:tc>
        <w:tc>
          <w:tcPr>
            <w:tcW w:type="dxa" w:w="9071"/>
            <w:vAlign w:val="center"/>
            <w:shd w:fill="EEEEEE"/>
          </w:tcPr>
          <w:p>
            <w:pPr>
              <w:spacing w:after="160" w:line="240" w:lineRule="auto"/>
              <w:jc w:val="left"/>
            </w:pPr>
            <w:r/>
            <w:r>
              <w:rPr>
                <w:rFonts w:ascii="Calibri" w:hAnsi="Calibri"/>
                <w:b w:val="0"/>
                <w:color w:val="000000"/>
                <w:sz w:val="24"/>
              </w:rPr>
              <w:t>Dispõe sobre a estrutura organizacional e o regulamento da Escola Judicial Desembargador Edésio Fernandes - EJEF.</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1053/2023</w:t>
            </w:r>
          </w:p>
        </w:tc>
        <w:tc>
          <w:tcPr>
            <w:tcW w:type="dxa" w:w="9071"/>
            <w:vAlign w:val="center"/>
          </w:tcPr>
          <w:p>
            <w:pPr>
              <w:spacing w:after="160" w:line="240" w:lineRule="auto"/>
              <w:jc w:val="left"/>
            </w:pPr>
            <w:r/>
            <w:r>
              <w:rPr>
                <w:rFonts w:ascii="Calibri" w:hAnsi="Calibri"/>
                <w:b w:val="0"/>
                <w:color w:val="000000"/>
                <w:sz w:val="24"/>
              </w:rPr>
              <w:t>Dispõe sobre a Superintendência Judiciária.</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1062/2023</w:t>
            </w:r>
          </w:p>
        </w:tc>
        <w:tc>
          <w:tcPr>
            <w:tcW w:type="dxa" w:w="9071"/>
            <w:vAlign w:val="center"/>
            <w:shd w:fill="EEEEEE"/>
          </w:tcPr>
          <w:p>
            <w:pPr>
              <w:spacing w:after="160" w:line="240" w:lineRule="auto"/>
              <w:jc w:val="left"/>
            </w:pPr>
            <w:r/>
            <w:r>
              <w:rPr>
                <w:rFonts w:ascii="Calibri" w:hAnsi="Calibri"/>
                <w:b w:val="0"/>
                <w:color w:val="000000"/>
                <w:sz w:val="24"/>
              </w:rPr>
              <w:t>Altera a Resolução do Órgão Especial nº 979, de 17 de novembro de 2021, que "Dispõe sobre a estrutura organizacional e o regulamento da Escola Judicial Desembargador Edésio Fernandes - EJEF".</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1063/2023</w:t>
            </w:r>
          </w:p>
        </w:tc>
        <w:tc>
          <w:tcPr>
            <w:tcW w:type="dxa" w:w="9071"/>
            <w:vAlign w:val="center"/>
          </w:tcPr>
          <w:p>
            <w:pPr>
              <w:spacing w:after="160" w:line="240" w:lineRule="auto"/>
              <w:jc w:val="left"/>
            </w:pPr>
            <w:r/>
            <w:r>
              <w:rPr>
                <w:rFonts w:ascii="Calibri" w:hAnsi="Calibri"/>
                <w:b w:val="0"/>
                <w:color w:val="000000"/>
                <w:sz w:val="24"/>
              </w:rPr>
              <w:t>Dispõe sobre a organização e o funcionamento do Comitê Gestor Regional de Primeira Instância no âmbito do Poder Judiciário do Estado de Minas Gerais.</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1066/2023</w:t>
            </w:r>
          </w:p>
        </w:tc>
        <w:tc>
          <w:tcPr>
            <w:tcW w:type="dxa" w:w="9071"/>
            <w:vAlign w:val="center"/>
            <w:shd w:fill="EEEEEE"/>
          </w:tcPr>
          <w:p>
            <w:pPr>
              <w:spacing w:after="160" w:line="240" w:lineRule="auto"/>
              <w:jc w:val="left"/>
            </w:pPr>
            <w:r/>
            <w:r>
              <w:rPr>
                <w:rFonts w:ascii="Calibri" w:hAnsi="Calibri"/>
                <w:b w:val="0"/>
                <w:color w:val="000000"/>
                <w:sz w:val="24"/>
              </w:rPr>
              <w:t>Dispõe sobre a estrutura e o funcionamento do Grupo de Monitoramento e Fiscalização do Sistema Carcerário e Socioeducativo - GMF no âmbito do Tribunal de Justiça do Estado de Minas Gerais.</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1079/2024</w:t>
            </w:r>
          </w:p>
        </w:tc>
        <w:tc>
          <w:tcPr>
            <w:tcW w:type="dxa" w:w="9071"/>
            <w:vAlign w:val="center"/>
          </w:tcPr>
          <w:p>
            <w:pPr>
              <w:spacing w:after="160" w:line="240" w:lineRule="auto"/>
              <w:jc w:val="left"/>
            </w:pPr>
            <w:r/>
            <w:r>
              <w:rPr>
                <w:rFonts w:ascii="Calibri" w:hAnsi="Calibri"/>
                <w:b w:val="0"/>
                <w:color w:val="000000"/>
                <w:sz w:val="24"/>
              </w:rPr>
              <w:t>Altera a Resolução do Órgão Especial nº 979, de 17 de novembro de 2021, que "Dispõe sobre a estrutura organizacional e o regulamento da Escola Judicial Desembargador Edésio Fernandes - EJEF.</w:t>
            </w:r>
          </w:p>
        </w:tc>
      </w:tr>
      <w:tr>
        <w:trPr>
          <w:trHeight w:val="340" w:hRule="atLeast"/>
          <w:cantSplit w:val="0"/>
        </w:trPr>
        <w:tc>
          <w:tcPr>
            <w:tcW w:type="dxa" w:w="2835"/>
            <w:vAlign w:val="center"/>
            <w:shd w:fill="EEEEEE"/>
          </w:tcPr>
          <w:p>
            <w:pPr>
              <w:spacing w:after="160" w:line="240" w:lineRule="auto"/>
              <w:jc w:val="left"/>
            </w:pPr>
            <w:r/>
            <w:r>
              <w:rPr>
                <w:rFonts w:ascii="Calibri" w:hAnsi="Calibri"/>
                <w:b w:val="0"/>
                <w:color w:val="000000"/>
                <w:sz w:val="24"/>
              </w:rPr>
              <w:t>Resolução nº 1080/2024</w:t>
            </w:r>
          </w:p>
        </w:tc>
        <w:tc>
          <w:tcPr>
            <w:tcW w:type="dxa" w:w="9071"/>
            <w:vAlign w:val="center"/>
            <w:shd w:fill="EEEEEE"/>
          </w:tcPr>
          <w:p>
            <w:pPr>
              <w:spacing w:after="160" w:line="240" w:lineRule="auto"/>
              <w:jc w:val="left"/>
            </w:pPr>
            <w:r/>
            <w:r>
              <w:rPr>
                <w:rFonts w:ascii="Calibri" w:hAnsi="Calibri"/>
                <w:b w:val="0"/>
                <w:color w:val="000000"/>
                <w:sz w:val="24"/>
              </w:rPr>
              <w:t>Institui o Regulamento da Escola Judicial Desembargador Edésio Fernandes - EJEF.</w:t>
            </w:r>
          </w:p>
        </w:tc>
      </w:tr>
      <w:tr>
        <w:trPr>
          <w:trHeight w:val="340" w:hRule="atLeast"/>
          <w:cantSplit w:val="0"/>
        </w:trPr>
        <w:tc>
          <w:tcPr>
            <w:tcW w:type="dxa" w:w="2835"/>
            <w:vAlign w:val="center"/>
          </w:tcPr>
          <w:p>
            <w:pPr>
              <w:spacing w:after="160" w:line="240" w:lineRule="auto"/>
              <w:jc w:val="left"/>
            </w:pPr>
            <w:r/>
            <w:r>
              <w:rPr>
                <w:rFonts w:ascii="Calibri" w:hAnsi="Calibri"/>
                <w:b w:val="0"/>
                <w:color w:val="000000"/>
                <w:sz w:val="24"/>
              </w:rPr>
              <w:t>Resolução nº 1086/2024</w:t>
            </w:r>
          </w:p>
        </w:tc>
        <w:tc>
          <w:tcPr>
            <w:tcW w:type="dxa" w:w="9071"/>
            <w:vAlign w:val="center"/>
          </w:tcPr>
          <w:p>
            <w:pPr>
              <w:spacing w:after="160" w:line="240" w:lineRule="auto"/>
              <w:jc w:val="left"/>
            </w:pPr>
            <w:r/>
            <w:r>
              <w:rPr>
                <w:rFonts w:ascii="Calibri" w:hAnsi="Calibri"/>
                <w:b w:val="0"/>
                <w:color w:val="000000"/>
                <w:sz w:val="24"/>
              </w:rPr>
              <w:t>Altera a Resolução do Órgão Especial nº 1.010, de 29 de agosto de 2020, que "Dispõe sobre a implementação, a estrutura e o funcionamento dos "Núcleos de Justiça 4.0" e dá outras providências", e altera a Resolução do Órgão Especial nº 1.053, de 20 de setembro de 2023, que "Dispõe sobre a Superintendência Judiciária e dá outras providências".</w:t>
            </w:r>
          </w:p>
        </w:tc>
      </w:tr>
    </w:tbl>
    <w:p>
      <w:pPr>
        <w:spacing w:before="120" w:after="240"/>
        <w:jc w:val="left"/>
      </w:pPr>
      <w:r>
        <w:rPr>
          <w:rFonts w:ascii="Calibri" w:hAnsi="Calibri"/>
          <w:b w:val="0"/>
          <w:sz w:val="16"/>
        </w:rPr>
        <w:t>Tabela 01 - Atos Normativos referentes à Estrutura do TJMG. Fonte: Portal TJMG</w:t>
      </w:r>
    </w:p>
    <w:p>
      <w:pPr>
        <w:spacing w:line="360" w:lineRule="auto" w:after="160"/>
        <w:jc w:val="both"/>
      </w:pPr>
      <w:r>
        <w:t>O organograma da Instituição está disponível em:</w:t>
      </w:r>
    </w:p>
    <w:p>
      <w:pPr>
        <w:spacing w:line="360" w:lineRule="auto" w:after="160"/>
        <w:jc w:val="both"/>
      </w:pPr>
      <w:r>
        <w:t>https://www.tjmg.jus.br/data/files/CD/71/C5/37/B9EBA810AC81D5A82C08CCA8/Organograma%20da%20Secretaria%20TJMG%20-%20Setembro%20-%202023.pdf</w:t>
      </w:r>
    </w:p>
    <w:p>
      <w:pPr>
        <w:spacing w:line="360" w:lineRule="auto" w:after="160"/>
        <w:jc w:val="both"/>
      </w:pPr>
      <w:r>
        <w:t>A seguir estão relacionadas as principais áreas da secretaria do TJMG, elencadas em ordem alfabética:</w:t>
      </w:r>
    </w:p>
    <w:tbl>
      <w:tblPr>
        <w:tblW w:type="auto" w:w="0"/>
        <w:tblLook w:firstColumn="1" w:firstRow="1" w:lastColumn="0" w:lastRow="0" w:noHBand="0" w:noVBand="1" w:val="04A0"/>
      </w:tblPr>
      <w:tblGrid>
        <w:gridCol w:w="8220"/>
        <w:gridCol w:w="1701"/>
      </w:tblGrid>
      <w:tr>
        <w:trPr>
          <w:trHeight w:val="220" w:hRule="atLeast"/>
          <w:tblHeader/>
        </w:trPr>
        <w:tc>
          <w:tcPr>
            <w:tcW w:type="dxa" w:w="9921"/>
            <w:gridSpan w:val="2"/>
            <w:shd w:fill="7F7F7F"/>
            <w:vAlign w:val="center"/>
          </w:tcPr>
          <w:p>
            <w:pPr>
              <w:spacing w:line="240" w:lineRule="auto" w:before="0" w:after="0"/>
              <w:jc w:val="left"/>
            </w:pPr>
            <w:r>
              <w:rPr>
                <w:rFonts w:ascii="Calibri" w:hAnsi="Calibri"/>
                <w:b/>
                <w:color w:val="FFFFFF"/>
                <w:sz w:val="22"/>
              </w:rPr>
              <w:t>DENOMINAÇÃO</w:t>
            </w:r>
          </w:p>
        </w:tc>
      </w:tr>
      <w:tr>
        <w:trPr>
          <w:trHeight w:val="220" w:hRule="atLeast"/>
          <w:cantSplit w:val="0"/>
        </w:trPr>
        <w:tc>
          <w:tcPr>
            <w:tcW w:type="dxa" w:w="9921"/>
            <w:gridSpan w:val="2"/>
            <w:vAlign w:val="center"/>
          </w:tcPr>
          <w:p>
            <w:pPr>
              <w:spacing w:line="240" w:lineRule="auto" w:before="0" w:after="0"/>
              <w:jc w:val="left"/>
            </w:pPr>
            <w:r>
              <w:rPr>
                <w:rFonts w:ascii="Calibri" w:hAnsi="Calibri"/>
                <w:color w:val="000000"/>
                <w:sz w:val="22"/>
              </w:rPr>
              <w:t>Comitê Estratégico de Gestão Institucional</w:t>
            </w:r>
          </w:p>
        </w:tc>
      </w:tr>
      <w:tr>
        <w:trPr>
          <w:trHeight w:val="220" w:hRule="atLeast"/>
          <w:cantSplit w:val="0"/>
        </w:trPr>
        <w:tc>
          <w:tcPr>
            <w:tcW w:type="dxa" w:w="9921"/>
            <w:gridSpan w:val="2"/>
            <w:vAlign w:val="center"/>
            <w:shd w:fill="EEEEEE"/>
          </w:tcPr>
          <w:p>
            <w:pPr>
              <w:spacing w:line="240" w:lineRule="auto" w:before="0" w:after="0"/>
              <w:jc w:val="left"/>
            </w:pPr>
            <w:r>
              <w:rPr>
                <w:rFonts w:ascii="Calibri" w:hAnsi="Calibri"/>
                <w:color w:val="000000"/>
                <w:sz w:val="22"/>
              </w:rPr>
              <w:t>Comitê Gestor de Segurança da Informação</w:t>
            </w:r>
          </w:p>
        </w:tc>
      </w:tr>
      <w:tr>
        <w:trPr>
          <w:trHeight w:val="220" w:hRule="atLeast"/>
          <w:cantSplit w:val="0"/>
        </w:trPr>
        <w:tc>
          <w:tcPr>
            <w:tcW w:type="dxa" w:w="9921"/>
            <w:gridSpan w:val="2"/>
            <w:vAlign w:val="center"/>
          </w:tcPr>
          <w:p>
            <w:pPr>
              <w:spacing w:line="240" w:lineRule="auto" w:before="0" w:after="0"/>
              <w:jc w:val="left"/>
            </w:pPr>
            <w:r>
              <w:rPr>
                <w:rFonts w:ascii="Calibri" w:hAnsi="Calibri"/>
                <w:color w:val="000000"/>
                <w:sz w:val="22"/>
              </w:rPr>
              <w:t>Comitê Institucional de Inteligência</w:t>
            </w:r>
          </w:p>
        </w:tc>
      </w:tr>
      <w:tr>
        <w:trPr>
          <w:trHeight w:val="220" w:hRule="atLeast"/>
          <w:cantSplit w:val="0"/>
        </w:trPr>
        <w:tc>
          <w:tcPr>
            <w:tcW w:type="dxa" w:w="9921"/>
            <w:gridSpan w:val="2"/>
            <w:vAlign w:val="center"/>
            <w:shd w:fill="EEEEEE"/>
          </w:tcPr>
          <w:p>
            <w:pPr>
              <w:spacing w:line="240" w:lineRule="auto" w:before="0" w:after="0"/>
              <w:jc w:val="left"/>
            </w:pPr>
            <w:r>
              <w:rPr>
                <w:rFonts w:ascii="Calibri" w:hAnsi="Calibri"/>
                <w:color w:val="000000"/>
                <w:sz w:val="22"/>
              </w:rPr>
              <w:t>Comitê de Governança e Gestão Estratégica</w:t>
            </w:r>
          </w:p>
        </w:tc>
      </w:tr>
      <w:tr>
        <w:trPr>
          <w:trHeight w:val="220" w:hRule="atLeast"/>
          <w:cantSplit w:val="0"/>
        </w:trPr>
        <w:tc>
          <w:tcPr>
            <w:tcW w:type="dxa" w:w="9921"/>
            <w:gridSpan w:val="2"/>
            <w:vAlign w:val="center"/>
          </w:tcPr>
          <w:p>
            <w:pPr>
              <w:spacing w:line="240" w:lineRule="auto" w:before="0" w:after="0"/>
              <w:jc w:val="left"/>
            </w:pPr>
            <w:r>
              <w:rPr>
                <w:rFonts w:ascii="Calibri" w:hAnsi="Calibri"/>
                <w:color w:val="000000"/>
                <w:sz w:val="22"/>
              </w:rPr>
              <w:t>Comitê de Monitoramento e Suporte à Prestação Jurisdicional</w:t>
            </w:r>
          </w:p>
        </w:tc>
      </w:tr>
      <w:tr>
        <w:trPr>
          <w:trHeight w:val="220" w:hRule="atLeast"/>
          <w:cantSplit w:val="0"/>
        </w:trPr>
        <w:tc>
          <w:tcPr>
            <w:tcW w:type="dxa" w:w="9921"/>
            <w:gridSpan w:val="2"/>
            <w:vAlign w:val="center"/>
            <w:shd w:fill="EEEEEE"/>
          </w:tcPr>
          <w:p>
            <w:pPr>
              <w:spacing w:line="240" w:lineRule="auto" w:before="0" w:after="0"/>
              <w:jc w:val="left"/>
            </w:pPr>
            <w:r>
              <w:rPr>
                <w:rFonts w:ascii="Calibri" w:hAnsi="Calibri"/>
                <w:color w:val="000000"/>
                <w:sz w:val="22"/>
              </w:rPr>
              <w:t>Comitê de Tecnologia da Informação e Comunicação</w:t>
            </w:r>
          </w:p>
        </w:tc>
      </w:tr>
      <w:tr>
        <w:trPr>
          <w:trHeight w:val="220" w:hRule="atLeast"/>
          <w:tblHeader/>
        </w:trPr>
        <w:tc>
          <w:tcPr>
            <w:tcW w:type="dxa" w:w="8220"/>
            <w:shd w:fill="D9D9D9"/>
            <w:vAlign w:val="center"/>
            <w:tcBorders>
              <w:top w:val="single" w:sz="4" w:color="000000"/>
            </w:tcBorders>
          </w:tcPr>
          <w:p>
            <w:pPr>
              <w:spacing w:line="240" w:lineRule="auto" w:before="0" w:after="0"/>
              <w:jc w:val="left"/>
            </w:pPr>
            <w:r>
              <w:rPr>
                <w:rFonts w:ascii="Calibri" w:hAnsi="Calibri"/>
                <w:b/>
                <w:color w:val="000000"/>
                <w:sz w:val="22"/>
              </w:rPr>
              <w:t>SUPERINTENDÊNCIA ADMINISTRATIVA</w:t>
            </w:r>
          </w:p>
        </w:tc>
        <w:tc>
          <w:tcPr>
            <w:tcW w:type="dxa" w:w="1701"/>
            <w:shd w:fill="D9D9D9"/>
            <w:vAlign w:val="center"/>
            <w:tcBorders>
              <w:top w:val="single" w:sz="4" w:color="000000"/>
            </w:tcBorders>
          </w:tcPr>
          <w:p>
            <w:pPr>
              <w:spacing w:line="240" w:lineRule="auto" w:before="0" w:after="0"/>
              <w:jc w:val="center"/>
            </w:pPr>
            <w:r>
              <w:rPr>
                <w:rFonts w:ascii="Calibri" w:hAnsi="Calibri"/>
                <w:b/>
                <w:color w:val="000000"/>
                <w:sz w:val="22"/>
              </w:rPr>
              <w:t>SIGLA</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Diretoria Executiva de Administração de Recursos Humanos</w:t>
            </w:r>
          </w:p>
        </w:tc>
        <w:tc>
          <w:tcPr>
            <w:tcW w:type="dxa" w:w="1701"/>
            <w:vAlign w:val="center"/>
          </w:tcPr>
          <w:p>
            <w:pPr>
              <w:spacing w:line="240" w:lineRule="auto" w:before="0" w:after="0"/>
              <w:jc w:val="center"/>
            </w:pPr>
            <w:r>
              <w:rPr>
                <w:rFonts w:ascii="Calibri" w:hAnsi="Calibri"/>
                <w:color w:val="000000"/>
                <w:sz w:val="22"/>
              </w:rPr>
              <w:t>DEARHU</w:t>
            </w:r>
          </w:p>
        </w:tc>
      </w:tr>
      <w:tr>
        <w:trPr>
          <w:trHeight w:val="220" w:hRule="atLeast"/>
          <w:cantSplit w:val="0"/>
        </w:trPr>
        <w:tc>
          <w:tcPr>
            <w:tcW w:type="dxa" w:w="8220"/>
            <w:vAlign w:val="center"/>
            <w:shd w:fill="EEEEEE"/>
          </w:tcPr>
          <w:p>
            <w:pPr>
              <w:spacing w:line="240" w:lineRule="auto" w:before="0" w:after="0"/>
              <w:jc w:val="left"/>
            </w:pPr>
            <w:r>
              <w:rPr>
                <w:rFonts w:ascii="Calibri" w:hAnsi="Calibri"/>
                <w:color w:val="000000"/>
                <w:sz w:val="22"/>
              </w:rPr>
              <w:t>Diretoria Executiva de Comunicação</w:t>
            </w:r>
          </w:p>
        </w:tc>
        <w:tc>
          <w:tcPr>
            <w:tcW w:type="dxa" w:w="1701"/>
            <w:vAlign w:val="center"/>
            <w:shd w:fill="EEEEEE"/>
          </w:tcPr>
          <w:p>
            <w:pPr>
              <w:spacing w:line="240" w:lineRule="auto" w:before="0" w:after="0"/>
              <w:jc w:val="center"/>
            </w:pPr>
            <w:r>
              <w:rPr>
                <w:rFonts w:ascii="Calibri" w:hAnsi="Calibri"/>
                <w:color w:val="000000"/>
                <w:sz w:val="22"/>
              </w:rPr>
              <w:t>DIRCOM</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Diretoria Executiva de Engenharia e Gestão Predial</w:t>
            </w:r>
          </w:p>
        </w:tc>
        <w:tc>
          <w:tcPr>
            <w:tcW w:type="dxa" w:w="1701"/>
            <w:vAlign w:val="center"/>
          </w:tcPr>
          <w:p>
            <w:pPr>
              <w:spacing w:line="240" w:lineRule="auto" w:before="0" w:after="0"/>
              <w:jc w:val="center"/>
            </w:pPr>
            <w:r>
              <w:rPr>
                <w:rFonts w:ascii="Calibri" w:hAnsi="Calibri"/>
                <w:color w:val="000000"/>
                <w:sz w:val="22"/>
              </w:rPr>
              <w:t>DENGEP</w:t>
            </w:r>
          </w:p>
        </w:tc>
      </w:tr>
      <w:tr>
        <w:trPr>
          <w:trHeight w:val="220" w:hRule="atLeast"/>
          <w:cantSplit w:val="0"/>
        </w:trPr>
        <w:tc>
          <w:tcPr>
            <w:tcW w:type="dxa" w:w="8220"/>
            <w:vAlign w:val="center"/>
            <w:shd w:fill="EEEEEE"/>
          </w:tcPr>
          <w:p>
            <w:pPr>
              <w:spacing w:line="240" w:lineRule="auto" w:before="0" w:after="0"/>
              <w:jc w:val="left"/>
            </w:pPr>
            <w:r>
              <w:rPr>
                <w:rFonts w:ascii="Calibri" w:hAnsi="Calibri"/>
                <w:color w:val="000000"/>
                <w:sz w:val="22"/>
              </w:rPr>
              <w:t>Diretoria Executiva de Finanças e Execução Orçamentária</w:t>
            </w:r>
          </w:p>
        </w:tc>
        <w:tc>
          <w:tcPr>
            <w:tcW w:type="dxa" w:w="1701"/>
            <w:vAlign w:val="center"/>
            <w:shd w:fill="EEEEEE"/>
          </w:tcPr>
          <w:p>
            <w:pPr>
              <w:spacing w:line="240" w:lineRule="auto" w:before="0" w:after="0"/>
              <w:jc w:val="center"/>
            </w:pPr>
            <w:r>
              <w:rPr>
                <w:rFonts w:ascii="Calibri" w:hAnsi="Calibri"/>
                <w:color w:val="000000"/>
                <w:sz w:val="22"/>
              </w:rPr>
              <w:t>DIRFIN</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Diretoria Executiva de Gestão de Bens, Serviços e Patrimônio</w:t>
            </w:r>
          </w:p>
        </w:tc>
        <w:tc>
          <w:tcPr>
            <w:tcW w:type="dxa" w:w="1701"/>
            <w:vAlign w:val="center"/>
          </w:tcPr>
          <w:p>
            <w:pPr>
              <w:spacing w:line="240" w:lineRule="auto" w:before="0" w:after="0"/>
              <w:jc w:val="center"/>
            </w:pPr>
            <w:r>
              <w:rPr>
                <w:rFonts w:ascii="Calibri" w:hAnsi="Calibri"/>
                <w:color w:val="000000"/>
                <w:sz w:val="22"/>
              </w:rPr>
              <w:t>DIRSEP</w:t>
            </w:r>
          </w:p>
        </w:tc>
      </w:tr>
      <w:tr>
        <w:trPr>
          <w:trHeight w:val="220" w:hRule="atLeast"/>
          <w:cantSplit w:val="0"/>
        </w:trPr>
        <w:tc>
          <w:tcPr>
            <w:tcW w:type="dxa" w:w="8220"/>
            <w:vAlign w:val="center"/>
            <w:shd w:fill="EEEEEE"/>
          </w:tcPr>
          <w:p>
            <w:pPr>
              <w:spacing w:line="240" w:lineRule="auto" w:before="0" w:after="0"/>
              <w:jc w:val="left"/>
            </w:pPr>
            <w:r>
              <w:rPr>
                <w:rFonts w:ascii="Calibri" w:hAnsi="Calibri"/>
                <w:color w:val="000000"/>
                <w:sz w:val="22"/>
              </w:rPr>
              <w:t>Diretoria Executiva de Informática</w:t>
            </w:r>
          </w:p>
        </w:tc>
        <w:tc>
          <w:tcPr>
            <w:tcW w:type="dxa" w:w="1701"/>
            <w:vAlign w:val="center"/>
            <w:shd w:fill="EEEEEE"/>
          </w:tcPr>
          <w:p>
            <w:pPr>
              <w:spacing w:line="240" w:lineRule="auto" w:before="0" w:after="0"/>
              <w:jc w:val="center"/>
            </w:pPr>
            <w:r>
              <w:rPr>
                <w:rFonts w:ascii="Calibri" w:hAnsi="Calibri"/>
                <w:color w:val="000000"/>
                <w:sz w:val="22"/>
              </w:rPr>
              <w:t>DIRTEC</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Diretoria Executiva de Planejamento Orçamentário e Qualidade na Gestão Institucional</w:t>
            </w:r>
          </w:p>
        </w:tc>
        <w:tc>
          <w:tcPr>
            <w:tcW w:type="dxa" w:w="1701"/>
            <w:vAlign w:val="center"/>
          </w:tcPr>
          <w:p>
            <w:pPr>
              <w:spacing w:line="240" w:lineRule="auto" w:before="0" w:after="0"/>
              <w:jc w:val="center"/>
            </w:pPr>
            <w:r>
              <w:rPr>
                <w:rFonts w:ascii="Calibri" w:hAnsi="Calibri"/>
                <w:color w:val="000000"/>
                <w:sz w:val="22"/>
              </w:rPr>
              <w:t>DEPLAG</w:t>
            </w:r>
          </w:p>
        </w:tc>
      </w:tr>
      <w:tr>
        <w:trPr>
          <w:trHeight w:val="220" w:hRule="atLeast"/>
          <w:cantSplit w:val="0"/>
        </w:trPr>
        <w:tc>
          <w:tcPr>
            <w:tcW w:type="dxa" w:w="8220"/>
            <w:vAlign w:val="center"/>
            <w:shd w:fill="EEEEEE"/>
          </w:tcPr>
          <w:p>
            <w:pPr>
              <w:spacing w:line="240" w:lineRule="auto" w:before="0" w:after="0"/>
              <w:jc w:val="left"/>
            </w:pPr>
            <w:r>
              <w:rPr>
                <w:rFonts w:ascii="Calibri" w:hAnsi="Calibri"/>
                <w:color w:val="000000"/>
                <w:sz w:val="22"/>
              </w:rPr>
              <w:t>Gabinete de Segurança Institucional</w:t>
            </w:r>
          </w:p>
        </w:tc>
        <w:tc>
          <w:tcPr>
            <w:tcW w:type="dxa" w:w="1701"/>
            <w:vAlign w:val="center"/>
            <w:shd w:fill="EEEEEE"/>
          </w:tcPr>
          <w:p>
            <w:pPr>
              <w:spacing w:line="240" w:lineRule="auto" w:before="0" w:after="0"/>
              <w:jc w:val="center"/>
            </w:pPr>
            <w:r>
              <w:rPr>
                <w:rFonts w:ascii="Calibri" w:hAnsi="Calibri"/>
                <w:color w:val="000000"/>
                <w:sz w:val="22"/>
              </w:rPr>
              <w:t>GSI</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Secretaria de Auditoria Interna</w:t>
            </w:r>
          </w:p>
        </w:tc>
        <w:tc>
          <w:tcPr>
            <w:tcW w:type="dxa" w:w="1701"/>
            <w:vAlign w:val="center"/>
          </w:tcPr>
          <w:p>
            <w:pPr>
              <w:spacing w:line="240" w:lineRule="auto" w:before="0" w:after="0"/>
              <w:jc w:val="center"/>
            </w:pPr>
            <w:r>
              <w:rPr>
                <w:rFonts w:ascii="Calibri" w:hAnsi="Calibri"/>
                <w:color w:val="000000"/>
                <w:sz w:val="22"/>
              </w:rPr>
              <w:t>SECAUD</w:t>
            </w:r>
          </w:p>
        </w:tc>
      </w:tr>
      <w:tr>
        <w:trPr>
          <w:trHeight w:val="220" w:hRule="atLeast"/>
          <w:cantSplit w:val="0"/>
        </w:trPr>
        <w:tc>
          <w:tcPr>
            <w:tcW w:type="dxa" w:w="8220"/>
            <w:vAlign w:val="center"/>
            <w:shd w:fill="EEEEEE"/>
          </w:tcPr>
          <w:p>
            <w:pPr>
              <w:spacing w:line="240" w:lineRule="auto" w:before="0" w:after="0"/>
              <w:jc w:val="left"/>
            </w:pPr>
            <w:r>
              <w:rPr>
                <w:rFonts w:ascii="Calibri" w:hAnsi="Calibri"/>
                <w:color w:val="000000"/>
                <w:sz w:val="22"/>
              </w:rPr>
              <w:t>Secretaria de Governança e Gestão Estratégica</w:t>
            </w:r>
          </w:p>
        </w:tc>
        <w:tc>
          <w:tcPr>
            <w:tcW w:type="dxa" w:w="1701"/>
            <w:vAlign w:val="center"/>
            <w:shd w:fill="EEEEEE"/>
          </w:tcPr>
          <w:p>
            <w:pPr>
              <w:spacing w:line="240" w:lineRule="auto" w:before="0" w:after="0"/>
              <w:jc w:val="center"/>
            </w:pPr>
            <w:r>
              <w:rPr>
                <w:rFonts w:ascii="Calibri" w:hAnsi="Calibri"/>
                <w:color w:val="000000"/>
                <w:sz w:val="22"/>
              </w:rPr>
              <w:t>SEGOVE</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Secretaria do Órgão Especial</w:t>
            </w:r>
          </w:p>
        </w:tc>
        <w:tc>
          <w:tcPr>
            <w:tcW w:type="dxa" w:w="1701"/>
            <w:vAlign w:val="center"/>
          </w:tcPr>
          <w:p>
            <w:pPr>
              <w:spacing w:line="240" w:lineRule="auto" w:before="0" w:after="0"/>
              <w:jc w:val="center"/>
            </w:pPr>
            <w:r>
              <w:rPr>
                <w:rFonts w:ascii="Calibri" w:hAnsi="Calibri"/>
                <w:color w:val="000000"/>
                <w:sz w:val="22"/>
              </w:rPr>
              <w:t>SEOESP</w:t>
            </w:r>
          </w:p>
        </w:tc>
      </w:tr>
      <w:tr>
        <w:trPr>
          <w:trHeight w:val="220" w:hRule="atLeast"/>
          <w:tblHeader/>
        </w:trPr>
        <w:tc>
          <w:tcPr>
            <w:tcW w:type="dxa" w:w="9921"/>
            <w:gridSpan w:val="2"/>
            <w:shd w:fill="D9D9D9"/>
            <w:vAlign w:val="center"/>
            <w:tcBorders>
              <w:top w:val="single" w:sz="4" w:color="000000"/>
            </w:tcBorders>
          </w:tcPr>
          <w:p>
            <w:pPr>
              <w:spacing w:line="240" w:lineRule="auto" w:before="0" w:after="0"/>
              <w:jc w:val="left"/>
            </w:pPr>
            <w:r>
              <w:rPr>
                <w:rFonts w:ascii="Calibri" w:hAnsi="Calibri"/>
                <w:b/>
                <w:color w:val="000000"/>
                <w:sz w:val="22"/>
              </w:rPr>
              <w:t>SUPERINTENDÊNCIA DO 1º VICE-PRESIDENTE</w:t>
            </w:r>
          </w:p>
        </w:tc>
      </w:tr>
      <w:tr>
        <w:trPr>
          <w:trHeight w:val="220" w:hRule="atLeast"/>
          <w:cantSplit w:val="0"/>
        </w:trPr>
        <w:tc>
          <w:tcPr>
            <w:tcW w:type="dxa" w:w="8220"/>
            <w:vAlign w:val="center"/>
            <w:shd w:fill="EEEEEE"/>
          </w:tcPr>
          <w:p>
            <w:pPr>
              <w:spacing w:line="240" w:lineRule="auto" w:before="0" w:after="0"/>
              <w:jc w:val="left"/>
            </w:pPr>
            <w:r>
              <w:rPr>
                <w:rFonts w:ascii="Calibri" w:hAnsi="Calibri"/>
                <w:color w:val="000000"/>
                <w:sz w:val="22"/>
              </w:rPr>
              <w:t>Diretoria Executiva de Suporte à Prestação Jurisdicional</w:t>
            </w:r>
          </w:p>
        </w:tc>
        <w:tc>
          <w:tcPr>
            <w:tcW w:type="dxa" w:w="1701"/>
            <w:vAlign w:val="center"/>
            <w:shd w:fill="EEEEEE"/>
          </w:tcPr>
          <w:p>
            <w:pPr>
              <w:spacing w:line="240" w:lineRule="auto" w:before="0" w:after="0"/>
              <w:jc w:val="center"/>
            </w:pPr>
            <w:r>
              <w:rPr>
                <w:rFonts w:ascii="Calibri" w:hAnsi="Calibri"/>
                <w:color w:val="000000"/>
                <w:sz w:val="22"/>
              </w:rPr>
              <w:t>DIRSUP</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Secretaria de Padronização e Acompanhamento da Gestão Judiciária</w:t>
            </w:r>
          </w:p>
        </w:tc>
        <w:tc>
          <w:tcPr>
            <w:tcW w:type="dxa" w:w="1701"/>
            <w:vAlign w:val="center"/>
          </w:tcPr>
          <w:p>
            <w:pPr>
              <w:spacing w:line="240" w:lineRule="auto" w:before="0" w:after="0"/>
              <w:jc w:val="center"/>
            </w:pPr>
            <w:r>
              <w:rPr>
                <w:rFonts w:ascii="Calibri" w:hAnsi="Calibri"/>
                <w:color w:val="000000"/>
                <w:sz w:val="22"/>
              </w:rPr>
              <w:t>SEPAD</w:t>
            </w:r>
          </w:p>
        </w:tc>
      </w:tr>
      <w:tr>
        <w:trPr>
          <w:trHeight w:val="220" w:hRule="atLeast"/>
          <w:tblHeader/>
        </w:trPr>
        <w:tc>
          <w:tcPr>
            <w:tcW w:type="dxa" w:w="9921"/>
            <w:gridSpan w:val="2"/>
            <w:shd w:fill="D9D9D9"/>
            <w:vAlign w:val="center"/>
            <w:tcBorders>
              <w:top w:val="single" w:sz="4" w:color="000000"/>
            </w:tcBorders>
          </w:tcPr>
          <w:p>
            <w:pPr>
              <w:spacing w:line="240" w:lineRule="auto" w:before="0" w:after="0"/>
              <w:jc w:val="left"/>
            </w:pPr>
            <w:r>
              <w:rPr>
                <w:rFonts w:ascii="Calibri" w:hAnsi="Calibri"/>
                <w:b/>
                <w:color w:val="000000"/>
                <w:sz w:val="22"/>
              </w:rPr>
              <w:t>SUPERINTENDÊNCIA DO 2º VICE-PRESIDENTE</w:t>
            </w:r>
          </w:p>
        </w:tc>
      </w:tr>
      <w:tr>
        <w:trPr>
          <w:trHeight w:val="220" w:hRule="atLeast"/>
          <w:cantSplit w:val="0"/>
        </w:trPr>
        <w:tc>
          <w:tcPr>
            <w:tcW w:type="dxa" w:w="8220"/>
            <w:vAlign w:val="center"/>
            <w:shd w:fill="EEEEEE"/>
          </w:tcPr>
          <w:p>
            <w:pPr>
              <w:spacing w:line="240" w:lineRule="auto" w:before="0" w:after="0"/>
              <w:jc w:val="left"/>
            </w:pPr>
            <w:r>
              <w:rPr>
                <w:rFonts w:ascii="Calibri" w:hAnsi="Calibri"/>
                <w:color w:val="000000"/>
                <w:sz w:val="22"/>
              </w:rPr>
              <w:t>Diretoria Executiva de Desenvolvimento de Pessoas</w:t>
            </w:r>
          </w:p>
        </w:tc>
        <w:tc>
          <w:tcPr>
            <w:tcW w:type="dxa" w:w="1701"/>
            <w:vAlign w:val="center"/>
            <w:shd w:fill="EEEEEE"/>
          </w:tcPr>
          <w:p>
            <w:pPr>
              <w:spacing w:line="240" w:lineRule="auto" w:before="0" w:after="0"/>
              <w:jc w:val="center"/>
            </w:pPr>
            <w:r>
              <w:rPr>
                <w:rFonts w:ascii="Calibri" w:hAnsi="Calibri"/>
                <w:color w:val="000000"/>
                <w:sz w:val="22"/>
              </w:rPr>
              <w:t>DIRDEP</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Diretoria Executiva de Gestão da Informação Documental</w:t>
            </w:r>
          </w:p>
        </w:tc>
        <w:tc>
          <w:tcPr>
            <w:tcW w:type="dxa" w:w="1701"/>
            <w:vAlign w:val="center"/>
          </w:tcPr>
          <w:p>
            <w:pPr>
              <w:spacing w:line="240" w:lineRule="auto" w:before="0" w:after="0"/>
              <w:jc w:val="center"/>
            </w:pPr>
            <w:r>
              <w:rPr>
                <w:rFonts w:ascii="Calibri" w:hAnsi="Calibri"/>
                <w:color w:val="000000"/>
                <w:sz w:val="22"/>
              </w:rPr>
              <w:t>DIRGED</w:t>
            </w:r>
          </w:p>
        </w:tc>
      </w:tr>
      <w:tr>
        <w:trPr>
          <w:trHeight w:val="220" w:hRule="atLeast"/>
          <w:tblHeader/>
        </w:trPr>
        <w:tc>
          <w:tcPr>
            <w:tcW w:type="dxa" w:w="9921"/>
            <w:gridSpan w:val="2"/>
            <w:shd w:fill="D9D9D9"/>
            <w:vAlign w:val="center"/>
            <w:tcBorders>
              <w:top w:val="single" w:sz="4" w:color="000000"/>
            </w:tcBorders>
          </w:tcPr>
          <w:p>
            <w:pPr>
              <w:spacing w:line="240" w:lineRule="auto" w:before="0" w:after="0"/>
              <w:jc w:val="left"/>
            </w:pPr>
            <w:r>
              <w:rPr>
                <w:rFonts w:ascii="Calibri" w:hAnsi="Calibri"/>
                <w:b/>
                <w:color w:val="000000"/>
                <w:sz w:val="22"/>
              </w:rPr>
              <w:t>SUPERINTENDÊNCIA DO 3º VICE-PRESIDENTE</w:t>
            </w:r>
          </w:p>
        </w:tc>
      </w:tr>
      <w:tr>
        <w:trPr>
          <w:trHeight w:val="220" w:hRule="atLeast"/>
          <w:cantSplit w:val="0"/>
        </w:trPr>
        <w:tc>
          <w:tcPr>
            <w:tcW w:type="dxa" w:w="8220"/>
            <w:vAlign w:val="center"/>
            <w:shd w:fill="EEEEEE"/>
          </w:tcPr>
          <w:p>
            <w:pPr>
              <w:spacing w:line="240" w:lineRule="auto" w:before="0" w:after="0"/>
              <w:jc w:val="left"/>
            </w:pPr>
            <w:r>
              <w:rPr>
                <w:rFonts w:ascii="Calibri" w:hAnsi="Calibri"/>
                <w:color w:val="000000"/>
                <w:sz w:val="22"/>
              </w:rPr>
              <w:t>Assessoria de Gestão da Inovação</w:t>
            </w:r>
          </w:p>
        </w:tc>
        <w:tc>
          <w:tcPr>
            <w:tcW w:type="dxa" w:w="1701"/>
            <w:vAlign w:val="center"/>
            <w:shd w:fill="EEEEEE"/>
          </w:tcPr>
          <w:p>
            <w:pPr>
              <w:spacing w:line="240" w:lineRule="auto" w:before="0" w:after="0"/>
              <w:jc w:val="center"/>
            </w:pPr>
            <w:r>
              <w:rPr>
                <w:rFonts w:ascii="Calibri" w:hAnsi="Calibri"/>
                <w:color w:val="000000"/>
                <w:sz w:val="22"/>
              </w:rPr>
              <w:t>AGIN</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Núcleo Permanente de Métodos Consensuais de Solução de Conflitos</w:t>
            </w:r>
          </w:p>
        </w:tc>
        <w:tc>
          <w:tcPr>
            <w:tcW w:type="dxa" w:w="1701"/>
            <w:vAlign w:val="center"/>
          </w:tcPr>
          <w:p>
            <w:pPr>
              <w:spacing w:line="240" w:lineRule="auto" w:before="0" w:after="0"/>
              <w:jc w:val="center"/>
            </w:pPr>
            <w:r>
              <w:rPr>
                <w:rFonts w:ascii="Calibri" w:hAnsi="Calibri"/>
                <w:color w:val="000000"/>
                <w:sz w:val="22"/>
              </w:rPr>
              <w:t>NUPEMEC</w:t>
            </w:r>
          </w:p>
        </w:tc>
      </w:tr>
      <w:tr>
        <w:trPr>
          <w:trHeight w:val="220" w:hRule="atLeast"/>
          <w:tblHeader/>
        </w:trPr>
        <w:tc>
          <w:tcPr>
            <w:tcW w:type="dxa" w:w="9921"/>
            <w:gridSpan w:val="2"/>
            <w:shd w:fill="D9D9D9"/>
            <w:vAlign w:val="center"/>
            <w:tcBorders>
              <w:top w:val="single" w:sz="4" w:color="000000"/>
            </w:tcBorders>
          </w:tcPr>
          <w:p>
            <w:pPr>
              <w:spacing w:line="240" w:lineRule="auto" w:before="0" w:after="0"/>
              <w:jc w:val="left"/>
            </w:pPr>
            <w:r>
              <w:rPr>
                <w:rFonts w:ascii="Calibri" w:hAnsi="Calibri"/>
                <w:b/>
                <w:color w:val="000000"/>
                <w:sz w:val="22"/>
              </w:rPr>
              <w:t>CORREGEDORIA-GERAL DE JUSTIÇA</w:t>
            </w:r>
          </w:p>
        </w:tc>
      </w:tr>
      <w:tr>
        <w:trPr>
          <w:trHeight w:val="220" w:hRule="atLeast"/>
          <w:cantSplit w:val="0"/>
        </w:trPr>
        <w:tc>
          <w:tcPr>
            <w:tcW w:type="dxa" w:w="8220"/>
            <w:vAlign w:val="center"/>
            <w:shd w:fill="EEEEEE"/>
          </w:tcPr>
          <w:p>
            <w:pPr>
              <w:spacing w:line="240" w:lineRule="auto" w:before="0" w:after="0"/>
              <w:jc w:val="left"/>
            </w:pPr>
            <w:r>
              <w:rPr>
                <w:rFonts w:ascii="Calibri" w:hAnsi="Calibri"/>
                <w:color w:val="000000"/>
                <w:sz w:val="22"/>
              </w:rPr>
              <w:t>Diretoria Executiva de Atividade Correcional</w:t>
            </w:r>
          </w:p>
        </w:tc>
        <w:tc>
          <w:tcPr>
            <w:tcW w:type="dxa" w:w="1701"/>
            <w:vAlign w:val="center"/>
            <w:shd w:fill="EEEEEE"/>
          </w:tcPr>
          <w:p>
            <w:pPr>
              <w:spacing w:line="240" w:lineRule="auto" w:before="0" w:after="0"/>
              <w:jc w:val="center"/>
            </w:pPr>
            <w:r>
              <w:rPr>
                <w:rFonts w:ascii="Calibri" w:hAnsi="Calibri"/>
                <w:color w:val="000000"/>
                <w:sz w:val="22"/>
              </w:rPr>
              <w:t>DIRCOR</w:t>
            </w:r>
          </w:p>
        </w:tc>
      </w:tr>
      <w:tr>
        <w:trPr>
          <w:trHeight w:val="220" w:hRule="atLeast"/>
          <w:cantSplit w:val="0"/>
        </w:trPr>
        <w:tc>
          <w:tcPr>
            <w:tcW w:type="dxa" w:w="8220"/>
            <w:vAlign w:val="center"/>
          </w:tcPr>
          <w:p>
            <w:pPr>
              <w:spacing w:line="240" w:lineRule="auto" w:before="0" w:after="0"/>
              <w:jc w:val="left"/>
            </w:pPr>
            <w:r>
              <w:rPr>
                <w:rFonts w:ascii="Calibri" w:hAnsi="Calibri"/>
                <w:color w:val="000000"/>
                <w:sz w:val="22"/>
              </w:rPr>
              <w:t>Secretaria de Suporte ao Planejamento e à Gestão da Primeira Instância</w:t>
            </w:r>
          </w:p>
        </w:tc>
        <w:tc>
          <w:tcPr>
            <w:tcW w:type="dxa" w:w="1701"/>
            <w:vAlign w:val="center"/>
          </w:tcPr>
          <w:p>
            <w:pPr>
              <w:spacing w:line="240" w:lineRule="auto" w:before="0" w:after="0"/>
              <w:jc w:val="center"/>
            </w:pPr>
            <w:r>
              <w:rPr>
                <w:rFonts w:ascii="Calibri" w:hAnsi="Calibri"/>
                <w:color w:val="000000"/>
                <w:sz w:val="22"/>
              </w:rPr>
              <w:t>SEPLAN</w:t>
            </w:r>
          </w:p>
        </w:tc>
      </w:tr>
    </w:tbl>
    <w:p>
      <w:pPr>
        <w:spacing w:before="120" w:after="240"/>
        <w:jc w:val="left"/>
      </w:pPr>
      <w:r>
        <w:rPr>
          <w:rFonts w:ascii="Calibri" w:hAnsi="Calibri"/>
          <w:b w:val="0"/>
          <w:sz w:val="16"/>
        </w:rPr>
        <w:t>Tabela 02 - Principais áreas da Secretaria do TJMG. Fonte: Portal TJMG</w:t>
      </w:r>
    </w:p>
    <w:p>
      <w:r>
        <w:br w:type="page"/>
      </w:r>
    </w:p>
    <w:p>
      <w:pPr>
        <w:pStyle w:val="Heading2"/>
        <w:spacing w:after="400"/>
      </w:pPr>
      <w:r>
        <w:t>3.2 Estrutura e Força de Trabalho do TJMG</w:t>
      </w:r>
    </w:p>
    <w:p>
      <w:pPr>
        <w:spacing w:line="360" w:lineRule="auto" w:after="160"/>
        <w:jc w:val="both"/>
      </w:pPr>
      <w:r>
        <w:t>Para a prestação jurisdicional na Segunda Instância, o Tribunal de Justiça conta com 149 desembargadores que atuam em 21 câmaras cíveis e 9 criminais, cada uma delas apoiada por um cartório onde os feitos tramitam. Além disso, foram instalados 13 Núcleos de Justiça 4.0. O encaminhamento de processos aos tribunais superiores recebe o apoio de 4 Cartórios de Recursos a Outros Tribunais (Carot), enquanto o Órgão Especial e os grupos de câmaras contam com o suporte de 2 Cartórios de Feitos Especiais (Cafes).</w:t>
      </w:r>
    </w:p>
    <w:tbl>
      <w:tblPr>
        <w:tblW w:type="auto" w:w="0"/>
        <w:tblLook w:firstColumn="1" w:firstRow="1" w:lastColumn="0" w:lastRow="0" w:noHBand="0" w:noVBand="1" w:val="04A0"/>
      </w:tblPr>
      <w:tblGrid>
        <w:gridCol w:w="9921"/>
      </w:tblGrid>
      <w:tr>
        <w:trPr>
          <w:trHeight w:val="220" w:hRule="atLeast"/>
          <w:tblHeader/>
        </w:trPr>
        <w:tc>
          <w:tcPr>
            <w:tcW w:type="dxa" w:w="9921"/>
            <w:vAlign w:val="center"/>
            <w:shd w:fill="7F7F7F"/>
          </w:tcPr>
          <w:p>
            <w:pPr>
              <w:spacing w:line="240" w:lineRule="auto" w:before="0" w:after="0"/>
              <w:jc w:val="left"/>
            </w:pPr>
            <w:r>
              <w:rPr>
                <w:rFonts w:ascii="Calibri" w:hAnsi="Calibri"/>
                <w:b/>
                <w:color w:val="FFFFFF"/>
                <w:sz w:val="22"/>
              </w:rPr>
              <w:t>ESTRUTURAS PARA A PRESTAÇÃO JURISDICIONAL NA SEGUNDA INSTÂNCIA</w:t>
            </w:r>
          </w:p>
        </w:tc>
      </w:tr>
      <w:tr>
        <w:trPr>
          <w:trHeight w:val="220" w:hRule="atLeast"/>
          <w:tblHeader/>
        </w:trPr>
        <w:tc>
          <w:tcPr>
            <w:tcW w:type="dxa" w:w="9921"/>
            <w:vAlign w:val="center"/>
            <w:shd w:fill="D9D9D9"/>
            <w:tcBorders>
              <w:top w:val="single" w:sz="4" w:color="000000"/>
            </w:tcBorders>
          </w:tcPr>
          <w:p>
            <w:pPr>
              <w:spacing w:line="240" w:lineRule="auto" w:before="0" w:after="0"/>
              <w:jc w:val="left"/>
            </w:pPr>
            <w:r>
              <w:rPr>
                <w:rFonts w:ascii="Calibri" w:hAnsi="Calibri"/>
                <w:b w:val="0"/>
                <w:color w:val="000000"/>
                <w:sz w:val="22"/>
              </w:rPr>
              <w:t>Câmaras Cíveis</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01ª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02ª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03ª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04ª Câmara Cível Especializada</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05ª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06ª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07ª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08ª Câmara Cível Especializada</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09ª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10ª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11ª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12ª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13ª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14ª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15ª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16ª Câmara Cível Especializada</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17ª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18ª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19ª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20ª Câmara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21ª Câmara Cível Especializada</w:t>
            </w:r>
          </w:p>
        </w:tc>
      </w:tr>
      <w:tr>
        <w:trPr>
          <w:trHeight w:val="220" w:hRule="atLeast"/>
          <w:tblHeader/>
        </w:trPr>
        <w:tc>
          <w:tcPr>
            <w:tcW w:type="dxa" w:w="9921"/>
            <w:vAlign w:val="center"/>
            <w:shd w:fill="D9D9D9"/>
            <w:tcBorders>
              <w:top w:val="single" w:sz="4" w:color="000000"/>
            </w:tcBorders>
          </w:tcPr>
          <w:p>
            <w:pPr>
              <w:spacing w:line="240" w:lineRule="auto" w:before="0" w:after="0"/>
              <w:jc w:val="left"/>
            </w:pPr>
            <w:r>
              <w:rPr>
                <w:rFonts w:ascii="Calibri" w:hAnsi="Calibri"/>
                <w:b w:val="0"/>
                <w:color w:val="000000"/>
                <w:sz w:val="22"/>
              </w:rPr>
              <w:t>Câmaras Criminais</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01ª Câmara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02ª Câmara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03ª Câmara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04ª Câmara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05ª Câmara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06ª Câmara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07ª Câmara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08ª Câmara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09ª Câmara Criminal</w:t>
            </w:r>
          </w:p>
        </w:tc>
      </w:tr>
      <w:tr>
        <w:trPr>
          <w:trHeight w:val="220" w:hRule="atLeast"/>
          <w:tblHeader/>
        </w:trPr>
        <w:tc>
          <w:tcPr>
            <w:tcW w:type="dxa" w:w="9921"/>
            <w:vAlign w:val="center"/>
            <w:shd w:fill="D9D9D9"/>
            <w:tcBorders>
              <w:top w:val="single" w:sz="4" w:color="000000"/>
            </w:tcBorders>
          </w:tcPr>
          <w:p>
            <w:pPr>
              <w:spacing w:line="240" w:lineRule="auto" w:before="0" w:after="0"/>
              <w:jc w:val="left"/>
            </w:pPr>
            <w:r>
              <w:rPr>
                <w:rFonts w:ascii="Calibri" w:hAnsi="Calibri"/>
                <w:b w:val="0"/>
                <w:color w:val="000000"/>
                <w:sz w:val="22"/>
              </w:rPr>
              <w:t>Justiça 4.0 -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Câmara Justiça 4.0 - Especializada Cível - 4</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Câmara Justiça 4.0 - Especializada Cível - 8</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Câmara Justiça 4.0 - Cível - 18</w:t>
            </w:r>
          </w:p>
        </w:tc>
      </w:tr>
      <w:tr>
        <w:trPr>
          <w:trHeight w:val="220" w:hRule="atLeast"/>
          <w:tblHeader/>
        </w:trPr>
        <w:tc>
          <w:tcPr>
            <w:tcW w:type="dxa" w:w="9921"/>
            <w:vAlign w:val="center"/>
            <w:shd w:fill="D9D9D9"/>
            <w:tcBorders>
              <w:top w:val="single" w:sz="4" w:color="000000"/>
            </w:tcBorders>
          </w:tcPr>
          <w:p>
            <w:pPr>
              <w:spacing w:line="240" w:lineRule="auto" w:before="0" w:after="0"/>
              <w:jc w:val="left"/>
            </w:pPr>
            <w:r>
              <w:rPr>
                <w:rFonts w:ascii="Calibri" w:hAnsi="Calibri"/>
                <w:b w:val="0"/>
                <w:color w:val="000000"/>
                <w:sz w:val="22"/>
              </w:rPr>
              <w:t>Justiça 4.0 -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Câmara Justiça 4.0 - Especializada Criminal</w:t>
            </w:r>
          </w:p>
        </w:tc>
      </w:tr>
    </w:tbl>
    <w:p>
      <w:pPr>
        <w:spacing w:before="120" w:after="500"/>
        <w:jc w:val="left"/>
      </w:pPr>
      <w:r>
        <w:rPr>
          <w:rFonts w:ascii="Calibri" w:hAnsi="Calibri"/>
          <w:b w:val="0"/>
          <w:sz w:val="16"/>
        </w:rPr>
        <w:t>Tabela 03 - Estruturas para a Prestação Jurisdicional na Segunda Instância. Fonte: Portal TJMG</w:t>
      </w:r>
    </w:p>
    <w:p>
      <w:pPr>
        <w:spacing w:line="360" w:lineRule="auto" w:after="160"/>
        <w:jc w:val="both"/>
      </w:pPr>
      <w:r>
        <w:t>Na Primeira Instância do TJMG, judicam 916 juízes, nas 298 comarcas instaladas, abrangendo todos os 853 municípios do Estado. Atualmente, existem 793 varas instaladas, 145 Juizados Especiais e Turmas Recursais e 5 Núcleos de Justiça 4.0.</w:t>
      </w:r>
    </w:p>
    <w:tbl>
      <w:tblPr>
        <w:tblW w:type="auto" w:w="0"/>
        <w:tblLook w:firstColumn="1" w:firstRow="1" w:lastColumn="0" w:lastRow="0" w:noHBand="0" w:noVBand="1" w:val="04A0"/>
      </w:tblPr>
      <w:tblGrid>
        <w:gridCol w:w="2480"/>
        <w:gridCol w:w="2480"/>
        <w:gridCol w:w="2480"/>
        <w:gridCol w:w="2480"/>
      </w:tblGrid>
      <w:tr>
        <w:trPr>
          <w:trHeight w:val="220" w:hRule="atLeast"/>
          <w:tblHeader/>
        </w:trPr>
        <w:tc>
          <w:tcPr>
            <w:tcW w:type="dxa" w:w="9920"/>
            <w:gridSpan w:val="4"/>
            <w:shd w:fill="7F7F7F"/>
            <w:vAlign w:val="center"/>
          </w:tcPr>
          <w:p>
            <w:pPr>
              <w:spacing w:line="240" w:lineRule="auto" w:before="0" w:after="0"/>
              <w:jc w:val="center"/>
            </w:pPr>
            <w:r>
              <w:rPr>
                <w:rFonts w:ascii="Calibri" w:hAnsi="Calibri"/>
                <w:b/>
                <w:color w:val="FFFFFF"/>
                <w:sz w:val="22"/>
              </w:rPr>
              <w:t>COMARCAS INSTALADAS</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Abaeté</w:t>
            </w:r>
          </w:p>
        </w:tc>
        <w:tc>
          <w:tcPr>
            <w:tcW w:type="dxa" w:w="2480"/>
            <w:vAlign w:val="center"/>
            <w:shd w:fill="D9D9D9"/>
          </w:tcPr>
          <w:p>
            <w:pPr>
              <w:spacing w:line="240" w:lineRule="auto" w:before="0" w:after="0"/>
              <w:jc w:val="left"/>
            </w:pPr>
            <w:r>
              <w:rPr>
                <w:rFonts w:ascii="Calibri" w:hAnsi="Calibri"/>
                <w:b w:val="0"/>
                <w:color w:val="000000"/>
                <w:sz w:val="22"/>
              </w:rPr>
              <w:t>Abre Campo</w:t>
            </w:r>
          </w:p>
        </w:tc>
        <w:tc>
          <w:tcPr>
            <w:tcW w:type="dxa" w:w="2480"/>
            <w:vAlign w:val="center"/>
            <w:shd w:fill="D9D9D9"/>
          </w:tcPr>
          <w:p>
            <w:pPr>
              <w:spacing w:line="240" w:lineRule="auto" w:before="0" w:after="0"/>
              <w:jc w:val="left"/>
            </w:pPr>
            <w:r>
              <w:rPr>
                <w:rFonts w:ascii="Calibri" w:hAnsi="Calibri"/>
                <w:b w:val="0"/>
                <w:color w:val="000000"/>
                <w:sz w:val="22"/>
              </w:rPr>
              <w:t>Açucena</w:t>
            </w:r>
          </w:p>
        </w:tc>
        <w:tc>
          <w:tcPr>
            <w:tcW w:type="dxa" w:w="2480"/>
            <w:vAlign w:val="center"/>
            <w:shd w:fill="D9D9D9"/>
          </w:tcPr>
          <w:p>
            <w:pPr>
              <w:spacing w:line="240" w:lineRule="auto" w:before="0" w:after="0"/>
              <w:jc w:val="left"/>
            </w:pPr>
            <w:r>
              <w:rPr>
                <w:rFonts w:ascii="Calibri" w:hAnsi="Calibri"/>
                <w:b w:val="0"/>
                <w:color w:val="000000"/>
                <w:sz w:val="22"/>
              </w:rPr>
              <w:t>Águas Formosas</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Aimorés</w:t>
            </w:r>
          </w:p>
        </w:tc>
        <w:tc>
          <w:tcPr>
            <w:tcW w:type="dxa" w:w="2480"/>
            <w:vAlign w:val="center"/>
          </w:tcPr>
          <w:p>
            <w:pPr>
              <w:spacing w:line="240" w:lineRule="auto" w:before="0" w:after="0"/>
              <w:jc w:val="left"/>
            </w:pPr>
            <w:r>
              <w:rPr>
                <w:rFonts w:ascii="Calibri" w:hAnsi="Calibri"/>
                <w:b w:val="0"/>
                <w:color w:val="000000"/>
                <w:sz w:val="22"/>
              </w:rPr>
              <w:t>Aiuruoca</w:t>
            </w:r>
          </w:p>
        </w:tc>
        <w:tc>
          <w:tcPr>
            <w:tcW w:type="dxa" w:w="2480"/>
            <w:vAlign w:val="center"/>
          </w:tcPr>
          <w:p>
            <w:pPr>
              <w:spacing w:line="240" w:lineRule="auto" w:before="0" w:after="0"/>
              <w:jc w:val="left"/>
            </w:pPr>
            <w:r>
              <w:rPr>
                <w:rFonts w:ascii="Calibri" w:hAnsi="Calibri"/>
                <w:b w:val="0"/>
                <w:color w:val="000000"/>
                <w:sz w:val="22"/>
              </w:rPr>
              <w:t>Além Paraíba</w:t>
            </w:r>
          </w:p>
        </w:tc>
        <w:tc>
          <w:tcPr>
            <w:tcW w:type="dxa" w:w="2480"/>
            <w:vAlign w:val="center"/>
          </w:tcPr>
          <w:p>
            <w:pPr>
              <w:spacing w:line="240" w:lineRule="auto" w:before="0" w:after="0"/>
              <w:jc w:val="left"/>
            </w:pPr>
            <w:r>
              <w:rPr>
                <w:rFonts w:ascii="Calibri" w:hAnsi="Calibri"/>
                <w:b w:val="0"/>
                <w:color w:val="000000"/>
                <w:sz w:val="22"/>
              </w:rPr>
              <w:t>Alvinópolis</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Andradas</w:t>
            </w:r>
          </w:p>
        </w:tc>
        <w:tc>
          <w:tcPr>
            <w:tcW w:type="dxa" w:w="2480"/>
            <w:vAlign w:val="center"/>
            <w:shd w:fill="D9D9D9"/>
          </w:tcPr>
          <w:p>
            <w:pPr>
              <w:spacing w:line="240" w:lineRule="auto" w:before="0" w:after="0"/>
              <w:jc w:val="left"/>
            </w:pPr>
            <w:r>
              <w:rPr>
                <w:rFonts w:ascii="Calibri" w:hAnsi="Calibri"/>
                <w:b w:val="0"/>
                <w:color w:val="000000"/>
                <w:sz w:val="22"/>
              </w:rPr>
              <w:t>Andrelândia</w:t>
            </w:r>
          </w:p>
        </w:tc>
        <w:tc>
          <w:tcPr>
            <w:tcW w:type="dxa" w:w="2480"/>
            <w:vAlign w:val="center"/>
            <w:shd w:fill="D9D9D9"/>
          </w:tcPr>
          <w:p>
            <w:pPr>
              <w:spacing w:line="240" w:lineRule="auto" w:before="0" w:after="0"/>
              <w:jc w:val="left"/>
            </w:pPr>
            <w:r>
              <w:rPr>
                <w:rFonts w:ascii="Calibri" w:hAnsi="Calibri"/>
                <w:b w:val="0"/>
                <w:color w:val="000000"/>
                <w:sz w:val="22"/>
              </w:rPr>
              <w:t>Alfenas</w:t>
            </w:r>
          </w:p>
        </w:tc>
        <w:tc>
          <w:tcPr>
            <w:tcW w:type="dxa" w:w="2480"/>
            <w:vAlign w:val="center"/>
            <w:shd w:fill="D9D9D9"/>
          </w:tcPr>
          <w:p>
            <w:pPr>
              <w:spacing w:line="240" w:lineRule="auto" w:before="0" w:after="0"/>
              <w:jc w:val="left"/>
            </w:pPr>
            <w:r>
              <w:rPr>
                <w:rFonts w:ascii="Calibri" w:hAnsi="Calibri"/>
                <w:b w:val="0"/>
                <w:color w:val="000000"/>
                <w:sz w:val="22"/>
              </w:rPr>
              <w:t>Almenara</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Areado</w:t>
            </w:r>
          </w:p>
        </w:tc>
        <w:tc>
          <w:tcPr>
            <w:tcW w:type="dxa" w:w="2480"/>
            <w:vAlign w:val="center"/>
          </w:tcPr>
          <w:p>
            <w:pPr>
              <w:spacing w:line="240" w:lineRule="auto" w:before="0" w:after="0"/>
              <w:jc w:val="left"/>
            </w:pPr>
            <w:r>
              <w:rPr>
                <w:rFonts w:ascii="Calibri" w:hAnsi="Calibri"/>
                <w:b w:val="0"/>
                <w:color w:val="000000"/>
                <w:sz w:val="22"/>
              </w:rPr>
              <w:t>Arinos</w:t>
            </w:r>
          </w:p>
        </w:tc>
        <w:tc>
          <w:tcPr>
            <w:tcW w:type="dxa" w:w="2480"/>
            <w:vAlign w:val="center"/>
          </w:tcPr>
          <w:p>
            <w:pPr>
              <w:spacing w:line="240" w:lineRule="auto" w:before="0" w:after="0"/>
              <w:jc w:val="left"/>
            </w:pPr>
            <w:r>
              <w:rPr>
                <w:rFonts w:ascii="Calibri" w:hAnsi="Calibri"/>
                <w:b w:val="0"/>
                <w:color w:val="000000"/>
                <w:sz w:val="22"/>
              </w:rPr>
              <w:t>Alpinópolis</w:t>
            </w:r>
          </w:p>
        </w:tc>
        <w:tc>
          <w:tcPr>
            <w:tcW w:type="dxa" w:w="2480"/>
            <w:vAlign w:val="center"/>
          </w:tcPr>
          <w:p>
            <w:pPr>
              <w:spacing w:line="240" w:lineRule="auto" w:before="0" w:after="0"/>
              <w:jc w:val="left"/>
            </w:pPr>
            <w:r>
              <w:rPr>
                <w:rFonts w:ascii="Calibri" w:hAnsi="Calibri"/>
                <w:b w:val="0"/>
                <w:color w:val="000000"/>
                <w:sz w:val="22"/>
              </w:rPr>
              <w:t>Alto Rio Doce</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Araçuaí</w:t>
            </w:r>
          </w:p>
        </w:tc>
        <w:tc>
          <w:tcPr>
            <w:tcW w:type="dxa" w:w="2480"/>
            <w:vAlign w:val="center"/>
            <w:shd w:fill="D9D9D9"/>
          </w:tcPr>
          <w:p>
            <w:pPr>
              <w:spacing w:line="240" w:lineRule="auto" w:before="0" w:after="0"/>
              <w:jc w:val="left"/>
            </w:pPr>
            <w:r>
              <w:rPr>
                <w:rFonts w:ascii="Calibri" w:hAnsi="Calibri"/>
                <w:b w:val="0"/>
                <w:color w:val="000000"/>
                <w:sz w:val="22"/>
              </w:rPr>
              <w:t>Araguari</w:t>
            </w:r>
          </w:p>
        </w:tc>
        <w:tc>
          <w:tcPr>
            <w:tcW w:type="dxa" w:w="2480"/>
            <w:vAlign w:val="center"/>
            <w:shd w:fill="D9D9D9"/>
          </w:tcPr>
          <w:p>
            <w:pPr>
              <w:spacing w:line="240" w:lineRule="auto" w:before="0" w:after="0"/>
              <w:jc w:val="left"/>
            </w:pPr>
            <w:r>
              <w:rPr>
                <w:rFonts w:ascii="Calibri" w:hAnsi="Calibri"/>
                <w:b w:val="0"/>
                <w:color w:val="000000"/>
                <w:sz w:val="22"/>
              </w:rPr>
              <w:t>Araxá</w:t>
            </w:r>
          </w:p>
        </w:tc>
        <w:tc>
          <w:tcPr>
            <w:tcW w:type="dxa" w:w="2480"/>
            <w:vAlign w:val="center"/>
            <w:shd w:fill="D9D9D9"/>
          </w:tcPr>
          <w:p>
            <w:pPr>
              <w:spacing w:line="240" w:lineRule="auto" w:before="0" w:after="0"/>
              <w:jc w:val="left"/>
            </w:pPr>
            <w:r>
              <w:rPr>
                <w:rFonts w:ascii="Calibri" w:hAnsi="Calibri"/>
                <w:b w:val="0"/>
                <w:color w:val="000000"/>
                <w:sz w:val="22"/>
              </w:rPr>
              <w:t>Arcos</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Baependi</w:t>
            </w:r>
          </w:p>
        </w:tc>
        <w:tc>
          <w:tcPr>
            <w:tcW w:type="dxa" w:w="2480"/>
            <w:vAlign w:val="center"/>
          </w:tcPr>
          <w:p>
            <w:pPr>
              <w:spacing w:line="240" w:lineRule="auto" w:before="0" w:after="0"/>
              <w:jc w:val="left"/>
            </w:pPr>
            <w:r>
              <w:rPr>
                <w:rFonts w:ascii="Calibri" w:hAnsi="Calibri"/>
                <w:b w:val="0"/>
                <w:color w:val="000000"/>
                <w:sz w:val="22"/>
              </w:rPr>
              <w:t>Bambuí</w:t>
            </w:r>
          </w:p>
        </w:tc>
        <w:tc>
          <w:tcPr>
            <w:tcW w:type="dxa" w:w="2480"/>
            <w:vAlign w:val="center"/>
          </w:tcPr>
          <w:p>
            <w:pPr>
              <w:spacing w:line="240" w:lineRule="auto" w:before="0" w:after="0"/>
              <w:jc w:val="left"/>
            </w:pPr>
            <w:r>
              <w:rPr>
                <w:rFonts w:ascii="Calibri" w:hAnsi="Calibri"/>
                <w:b w:val="0"/>
                <w:color w:val="000000"/>
                <w:sz w:val="22"/>
              </w:rPr>
              <w:t>Barão de Cocais</w:t>
            </w:r>
          </w:p>
        </w:tc>
        <w:tc>
          <w:tcPr>
            <w:tcW w:type="dxa" w:w="2480"/>
            <w:vAlign w:val="center"/>
          </w:tcPr>
          <w:p>
            <w:pPr>
              <w:spacing w:line="240" w:lineRule="auto" w:before="0" w:after="0"/>
              <w:jc w:val="left"/>
            </w:pPr>
            <w:r>
              <w:rPr>
                <w:rFonts w:ascii="Calibri" w:hAnsi="Calibri"/>
                <w:b w:val="0"/>
                <w:color w:val="000000"/>
                <w:sz w:val="22"/>
              </w:rPr>
              <w:t>Barbacena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Barroso</w:t>
            </w:r>
          </w:p>
        </w:tc>
        <w:tc>
          <w:tcPr>
            <w:tcW w:type="dxa" w:w="2480"/>
            <w:vAlign w:val="center"/>
            <w:shd w:fill="D9D9D9"/>
          </w:tcPr>
          <w:p>
            <w:pPr>
              <w:spacing w:line="240" w:lineRule="auto" w:before="0" w:after="0"/>
              <w:jc w:val="left"/>
            </w:pPr>
            <w:r>
              <w:rPr>
                <w:rFonts w:ascii="Calibri" w:hAnsi="Calibri"/>
                <w:b w:val="0"/>
                <w:color w:val="000000"/>
                <w:sz w:val="22"/>
              </w:rPr>
              <w:t>Belo Horizonte</w:t>
            </w:r>
          </w:p>
        </w:tc>
        <w:tc>
          <w:tcPr>
            <w:tcW w:type="dxa" w:w="2480"/>
            <w:vAlign w:val="center"/>
            <w:shd w:fill="D9D9D9"/>
          </w:tcPr>
          <w:p>
            <w:pPr>
              <w:spacing w:line="240" w:lineRule="auto" w:before="0" w:after="0"/>
              <w:jc w:val="left"/>
            </w:pPr>
            <w:r>
              <w:rPr>
                <w:rFonts w:ascii="Calibri" w:hAnsi="Calibri"/>
                <w:b w:val="0"/>
                <w:color w:val="000000"/>
                <w:sz w:val="22"/>
              </w:rPr>
              <w:t>Belo Vale</w:t>
            </w:r>
          </w:p>
        </w:tc>
        <w:tc>
          <w:tcPr>
            <w:tcW w:type="dxa" w:w="2480"/>
            <w:vAlign w:val="center"/>
            <w:shd w:fill="D9D9D9"/>
          </w:tcPr>
          <w:p>
            <w:pPr>
              <w:spacing w:line="240" w:lineRule="auto" w:before="0" w:after="0"/>
              <w:jc w:val="left"/>
            </w:pPr>
            <w:r>
              <w:rPr>
                <w:rFonts w:ascii="Calibri" w:hAnsi="Calibri"/>
                <w:b w:val="0"/>
                <w:color w:val="000000"/>
                <w:sz w:val="22"/>
              </w:rPr>
              <w:t>Betim</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Bicas</w:t>
            </w:r>
          </w:p>
        </w:tc>
        <w:tc>
          <w:tcPr>
            <w:tcW w:type="dxa" w:w="2480"/>
            <w:vAlign w:val="center"/>
          </w:tcPr>
          <w:p>
            <w:pPr>
              <w:spacing w:line="240" w:lineRule="auto" w:before="0" w:after="0"/>
              <w:jc w:val="left"/>
            </w:pPr>
            <w:r>
              <w:rPr>
                <w:rFonts w:ascii="Calibri" w:hAnsi="Calibri"/>
                <w:b w:val="0"/>
                <w:color w:val="000000"/>
                <w:sz w:val="22"/>
              </w:rPr>
              <w:t>Boa Esperança</w:t>
            </w:r>
          </w:p>
        </w:tc>
        <w:tc>
          <w:tcPr>
            <w:tcW w:type="dxa" w:w="2480"/>
            <w:vAlign w:val="center"/>
          </w:tcPr>
          <w:p>
            <w:pPr>
              <w:spacing w:line="240" w:lineRule="auto" w:before="0" w:after="0"/>
              <w:jc w:val="left"/>
            </w:pPr>
            <w:r>
              <w:rPr>
                <w:rFonts w:ascii="Calibri" w:hAnsi="Calibri"/>
                <w:b w:val="0"/>
                <w:color w:val="000000"/>
                <w:sz w:val="22"/>
              </w:rPr>
              <w:t>Bocaiúva</w:t>
            </w:r>
          </w:p>
        </w:tc>
        <w:tc>
          <w:tcPr>
            <w:tcW w:type="dxa" w:w="2480"/>
            <w:vAlign w:val="center"/>
          </w:tcPr>
          <w:p>
            <w:pPr>
              <w:spacing w:line="240" w:lineRule="auto" w:before="0" w:after="0"/>
              <w:jc w:val="left"/>
            </w:pPr>
            <w:r>
              <w:rPr>
                <w:rFonts w:ascii="Calibri" w:hAnsi="Calibri"/>
                <w:b w:val="0"/>
                <w:color w:val="000000"/>
                <w:sz w:val="22"/>
              </w:rPr>
              <w:t>Bom Despacho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Bom Sucesso</w:t>
            </w:r>
          </w:p>
        </w:tc>
        <w:tc>
          <w:tcPr>
            <w:tcW w:type="dxa" w:w="2480"/>
            <w:vAlign w:val="center"/>
            <w:shd w:fill="D9D9D9"/>
          </w:tcPr>
          <w:p>
            <w:pPr>
              <w:spacing w:line="240" w:lineRule="auto" w:before="0" w:after="0"/>
              <w:jc w:val="left"/>
            </w:pPr>
            <w:r>
              <w:rPr>
                <w:rFonts w:ascii="Calibri" w:hAnsi="Calibri"/>
                <w:b w:val="0"/>
                <w:color w:val="000000"/>
                <w:sz w:val="22"/>
              </w:rPr>
              <w:t>Bonfim</w:t>
            </w:r>
          </w:p>
        </w:tc>
        <w:tc>
          <w:tcPr>
            <w:tcW w:type="dxa" w:w="2480"/>
            <w:vAlign w:val="center"/>
            <w:shd w:fill="D9D9D9"/>
          </w:tcPr>
          <w:p>
            <w:pPr>
              <w:spacing w:line="240" w:lineRule="auto" w:before="0" w:after="0"/>
              <w:jc w:val="left"/>
            </w:pPr>
            <w:r>
              <w:rPr>
                <w:rFonts w:ascii="Calibri" w:hAnsi="Calibri"/>
                <w:b w:val="0"/>
                <w:color w:val="000000"/>
                <w:sz w:val="22"/>
              </w:rPr>
              <w:t>Bonfinópolis de Minas</w:t>
            </w:r>
          </w:p>
        </w:tc>
        <w:tc>
          <w:tcPr>
            <w:tcW w:type="dxa" w:w="2480"/>
            <w:vAlign w:val="center"/>
            <w:shd w:fill="D9D9D9"/>
          </w:tcPr>
          <w:p>
            <w:pPr>
              <w:spacing w:line="240" w:lineRule="auto" w:before="0" w:after="0"/>
              <w:jc w:val="left"/>
            </w:pPr>
            <w:r>
              <w:rPr>
                <w:rFonts w:ascii="Calibri" w:hAnsi="Calibri"/>
                <w:b w:val="0"/>
                <w:color w:val="000000"/>
                <w:sz w:val="22"/>
              </w:rPr>
              <w:t>Borda da Mata</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Botelhos</w:t>
            </w:r>
          </w:p>
        </w:tc>
        <w:tc>
          <w:tcPr>
            <w:tcW w:type="dxa" w:w="2480"/>
            <w:vAlign w:val="center"/>
          </w:tcPr>
          <w:p>
            <w:pPr>
              <w:spacing w:line="240" w:lineRule="auto" w:before="0" w:after="0"/>
              <w:jc w:val="left"/>
            </w:pPr>
            <w:r>
              <w:rPr>
                <w:rFonts w:ascii="Calibri" w:hAnsi="Calibri"/>
                <w:b w:val="0"/>
                <w:color w:val="000000"/>
                <w:sz w:val="22"/>
              </w:rPr>
              <w:t>Brasília de Minas</w:t>
            </w:r>
          </w:p>
        </w:tc>
        <w:tc>
          <w:tcPr>
            <w:tcW w:type="dxa" w:w="2480"/>
            <w:vAlign w:val="center"/>
          </w:tcPr>
          <w:p>
            <w:pPr>
              <w:spacing w:line="240" w:lineRule="auto" w:before="0" w:after="0"/>
              <w:jc w:val="left"/>
            </w:pPr>
            <w:r>
              <w:rPr>
                <w:rFonts w:ascii="Calibri" w:hAnsi="Calibri"/>
                <w:b w:val="0"/>
                <w:color w:val="000000"/>
                <w:sz w:val="22"/>
              </w:rPr>
              <w:t>Brazópolis</w:t>
            </w:r>
          </w:p>
        </w:tc>
        <w:tc>
          <w:tcPr>
            <w:tcW w:type="dxa" w:w="2480"/>
            <w:vAlign w:val="center"/>
          </w:tcPr>
          <w:p>
            <w:pPr>
              <w:spacing w:line="240" w:lineRule="auto" w:before="0" w:after="0"/>
              <w:jc w:val="left"/>
            </w:pPr>
            <w:r>
              <w:rPr>
                <w:rFonts w:ascii="Calibri" w:hAnsi="Calibri"/>
                <w:b w:val="0"/>
                <w:color w:val="000000"/>
                <w:sz w:val="22"/>
              </w:rPr>
              <w:t>Brumadinho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Bueno Brandão</w:t>
            </w:r>
          </w:p>
        </w:tc>
        <w:tc>
          <w:tcPr>
            <w:tcW w:type="dxa" w:w="2480"/>
            <w:vAlign w:val="center"/>
            <w:shd w:fill="D9D9D9"/>
          </w:tcPr>
          <w:p>
            <w:pPr>
              <w:spacing w:line="240" w:lineRule="auto" w:before="0" w:after="0"/>
              <w:jc w:val="left"/>
            </w:pPr>
            <w:r>
              <w:rPr>
                <w:rFonts w:ascii="Calibri" w:hAnsi="Calibri"/>
                <w:b w:val="0"/>
                <w:color w:val="000000"/>
                <w:sz w:val="22"/>
              </w:rPr>
              <w:t>Buenópolis</w:t>
            </w:r>
          </w:p>
        </w:tc>
        <w:tc>
          <w:tcPr>
            <w:tcW w:type="dxa" w:w="2480"/>
            <w:vAlign w:val="center"/>
            <w:shd w:fill="D9D9D9"/>
          </w:tcPr>
          <w:p>
            <w:pPr>
              <w:spacing w:line="240" w:lineRule="auto" w:before="0" w:after="0"/>
              <w:jc w:val="left"/>
            </w:pPr>
            <w:r>
              <w:rPr>
                <w:rFonts w:ascii="Calibri" w:hAnsi="Calibri"/>
                <w:b w:val="0"/>
                <w:color w:val="000000"/>
                <w:sz w:val="22"/>
              </w:rPr>
              <w:t>Buritis</w:t>
            </w:r>
          </w:p>
        </w:tc>
        <w:tc>
          <w:tcPr>
            <w:tcW w:type="dxa" w:w="2480"/>
            <w:vAlign w:val="center"/>
            <w:shd w:fill="D9D9D9"/>
          </w:tcPr>
          <w:p>
            <w:pPr>
              <w:spacing w:line="240" w:lineRule="auto" w:before="0" w:after="0"/>
              <w:jc w:val="left"/>
            </w:pPr>
            <w:r>
              <w:rPr>
                <w:rFonts w:ascii="Calibri" w:hAnsi="Calibri"/>
                <w:b w:val="0"/>
                <w:color w:val="000000"/>
                <w:sz w:val="22"/>
              </w:rPr>
              <w:t>Cabo Verde</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Cachoeira de Minas</w:t>
            </w:r>
          </w:p>
        </w:tc>
        <w:tc>
          <w:tcPr>
            <w:tcW w:type="dxa" w:w="2480"/>
            <w:vAlign w:val="center"/>
          </w:tcPr>
          <w:p>
            <w:pPr>
              <w:spacing w:line="240" w:lineRule="auto" w:before="0" w:after="0"/>
              <w:jc w:val="left"/>
            </w:pPr>
            <w:r>
              <w:rPr>
                <w:rFonts w:ascii="Calibri" w:hAnsi="Calibri"/>
                <w:b w:val="0"/>
                <w:color w:val="000000"/>
                <w:sz w:val="22"/>
              </w:rPr>
              <w:t>Caeté</w:t>
            </w:r>
          </w:p>
        </w:tc>
        <w:tc>
          <w:tcPr>
            <w:tcW w:type="dxa" w:w="2480"/>
            <w:vAlign w:val="center"/>
          </w:tcPr>
          <w:p>
            <w:pPr>
              <w:spacing w:line="240" w:lineRule="auto" w:before="0" w:after="0"/>
              <w:jc w:val="left"/>
            </w:pPr>
            <w:r>
              <w:rPr>
                <w:rFonts w:ascii="Calibri" w:hAnsi="Calibri"/>
                <w:b w:val="0"/>
                <w:color w:val="000000"/>
                <w:sz w:val="22"/>
              </w:rPr>
              <w:t>Caldas</w:t>
            </w:r>
          </w:p>
        </w:tc>
        <w:tc>
          <w:tcPr>
            <w:tcW w:type="dxa" w:w="2480"/>
            <w:vAlign w:val="center"/>
          </w:tcPr>
          <w:p>
            <w:pPr>
              <w:spacing w:line="240" w:lineRule="auto" w:before="0" w:after="0"/>
              <w:jc w:val="left"/>
            </w:pPr>
            <w:r>
              <w:rPr>
                <w:rFonts w:ascii="Calibri" w:hAnsi="Calibri"/>
                <w:b w:val="0"/>
                <w:color w:val="000000"/>
                <w:sz w:val="22"/>
              </w:rPr>
              <w:t>Camanducaia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Cambuí</w:t>
            </w:r>
          </w:p>
        </w:tc>
        <w:tc>
          <w:tcPr>
            <w:tcW w:type="dxa" w:w="2480"/>
            <w:vAlign w:val="center"/>
            <w:shd w:fill="D9D9D9"/>
          </w:tcPr>
          <w:p>
            <w:pPr>
              <w:spacing w:line="240" w:lineRule="auto" w:before="0" w:after="0"/>
              <w:jc w:val="left"/>
            </w:pPr>
            <w:r>
              <w:rPr>
                <w:rFonts w:ascii="Calibri" w:hAnsi="Calibri"/>
                <w:b w:val="0"/>
                <w:color w:val="000000"/>
                <w:sz w:val="22"/>
              </w:rPr>
              <w:t>Cambuquira</w:t>
            </w:r>
          </w:p>
        </w:tc>
        <w:tc>
          <w:tcPr>
            <w:tcW w:type="dxa" w:w="2480"/>
            <w:vAlign w:val="center"/>
            <w:shd w:fill="D9D9D9"/>
          </w:tcPr>
          <w:p>
            <w:pPr>
              <w:spacing w:line="240" w:lineRule="auto" w:before="0" w:after="0"/>
              <w:jc w:val="left"/>
            </w:pPr>
            <w:r>
              <w:rPr>
                <w:rFonts w:ascii="Calibri" w:hAnsi="Calibri"/>
                <w:b w:val="0"/>
                <w:color w:val="000000"/>
                <w:sz w:val="22"/>
              </w:rPr>
              <w:t>Campanha</w:t>
            </w:r>
          </w:p>
        </w:tc>
        <w:tc>
          <w:tcPr>
            <w:tcW w:type="dxa" w:w="2480"/>
            <w:vAlign w:val="center"/>
            <w:shd w:fill="D9D9D9"/>
          </w:tcPr>
          <w:p>
            <w:pPr>
              <w:spacing w:line="240" w:lineRule="auto" w:before="0" w:after="0"/>
              <w:jc w:val="left"/>
            </w:pPr>
            <w:r>
              <w:rPr>
                <w:rFonts w:ascii="Calibri" w:hAnsi="Calibri"/>
                <w:b w:val="0"/>
                <w:color w:val="000000"/>
                <w:sz w:val="22"/>
              </w:rPr>
              <w:t>Campestre</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Campina Verde</w:t>
            </w:r>
          </w:p>
        </w:tc>
        <w:tc>
          <w:tcPr>
            <w:tcW w:type="dxa" w:w="2480"/>
            <w:vAlign w:val="center"/>
          </w:tcPr>
          <w:p>
            <w:pPr>
              <w:spacing w:line="240" w:lineRule="auto" w:before="0" w:after="0"/>
              <w:jc w:val="left"/>
            </w:pPr>
            <w:r>
              <w:rPr>
                <w:rFonts w:ascii="Calibri" w:hAnsi="Calibri"/>
                <w:b w:val="0"/>
                <w:color w:val="000000"/>
                <w:sz w:val="22"/>
              </w:rPr>
              <w:t>Campo Belo</w:t>
            </w:r>
          </w:p>
        </w:tc>
        <w:tc>
          <w:tcPr>
            <w:tcW w:type="dxa" w:w="2480"/>
            <w:vAlign w:val="center"/>
          </w:tcPr>
          <w:p>
            <w:pPr>
              <w:spacing w:line="240" w:lineRule="auto" w:before="0" w:after="0"/>
              <w:jc w:val="left"/>
            </w:pPr>
            <w:r>
              <w:rPr>
                <w:rFonts w:ascii="Calibri" w:hAnsi="Calibri"/>
                <w:b w:val="0"/>
                <w:color w:val="000000"/>
                <w:sz w:val="22"/>
              </w:rPr>
              <w:t>Campos Altos</w:t>
            </w:r>
          </w:p>
        </w:tc>
        <w:tc>
          <w:tcPr>
            <w:tcW w:type="dxa" w:w="2480"/>
            <w:vAlign w:val="center"/>
          </w:tcPr>
          <w:p>
            <w:pPr>
              <w:spacing w:line="240" w:lineRule="auto" w:before="0" w:after="0"/>
              <w:jc w:val="left"/>
            </w:pPr>
            <w:r>
              <w:rPr>
                <w:rFonts w:ascii="Calibri" w:hAnsi="Calibri"/>
                <w:b w:val="0"/>
                <w:color w:val="000000"/>
                <w:sz w:val="22"/>
              </w:rPr>
              <w:t>Campos Gerais</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Canápolis</w:t>
            </w:r>
          </w:p>
        </w:tc>
        <w:tc>
          <w:tcPr>
            <w:tcW w:type="dxa" w:w="2480"/>
            <w:vAlign w:val="center"/>
            <w:shd w:fill="D9D9D9"/>
          </w:tcPr>
          <w:p>
            <w:pPr>
              <w:spacing w:line="240" w:lineRule="auto" w:before="0" w:after="0"/>
              <w:jc w:val="left"/>
            </w:pPr>
            <w:r>
              <w:rPr>
                <w:rFonts w:ascii="Calibri" w:hAnsi="Calibri"/>
                <w:b w:val="0"/>
                <w:color w:val="000000"/>
                <w:sz w:val="22"/>
              </w:rPr>
              <w:t>Candeias</w:t>
            </w:r>
          </w:p>
        </w:tc>
        <w:tc>
          <w:tcPr>
            <w:tcW w:type="dxa" w:w="2480"/>
            <w:vAlign w:val="center"/>
            <w:shd w:fill="D9D9D9"/>
          </w:tcPr>
          <w:p>
            <w:pPr>
              <w:spacing w:line="240" w:lineRule="auto" w:before="0" w:after="0"/>
              <w:jc w:val="left"/>
            </w:pPr>
            <w:r>
              <w:rPr>
                <w:rFonts w:ascii="Calibri" w:hAnsi="Calibri"/>
                <w:b w:val="0"/>
                <w:color w:val="000000"/>
                <w:sz w:val="22"/>
              </w:rPr>
              <w:t>Capelinha</w:t>
            </w:r>
          </w:p>
        </w:tc>
        <w:tc>
          <w:tcPr>
            <w:tcW w:type="dxa" w:w="2480"/>
            <w:vAlign w:val="center"/>
            <w:shd w:fill="D9D9D9"/>
          </w:tcPr>
          <w:p>
            <w:pPr>
              <w:spacing w:line="240" w:lineRule="auto" w:before="0" w:after="0"/>
              <w:jc w:val="left"/>
            </w:pPr>
            <w:r>
              <w:rPr>
                <w:rFonts w:ascii="Calibri" w:hAnsi="Calibri"/>
                <w:b w:val="0"/>
                <w:color w:val="000000"/>
                <w:sz w:val="22"/>
              </w:rPr>
              <w:t>Capinópolis</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Carandaí</w:t>
            </w:r>
          </w:p>
        </w:tc>
        <w:tc>
          <w:tcPr>
            <w:tcW w:type="dxa" w:w="2480"/>
            <w:vAlign w:val="center"/>
          </w:tcPr>
          <w:p>
            <w:pPr>
              <w:spacing w:line="240" w:lineRule="auto" w:before="0" w:after="0"/>
              <w:jc w:val="left"/>
            </w:pPr>
            <w:r>
              <w:rPr>
                <w:rFonts w:ascii="Calibri" w:hAnsi="Calibri"/>
                <w:b w:val="0"/>
                <w:color w:val="000000"/>
                <w:sz w:val="22"/>
              </w:rPr>
              <w:t>Carangola</w:t>
            </w:r>
          </w:p>
        </w:tc>
        <w:tc>
          <w:tcPr>
            <w:tcW w:type="dxa" w:w="2480"/>
            <w:vAlign w:val="center"/>
          </w:tcPr>
          <w:p>
            <w:pPr>
              <w:spacing w:line="240" w:lineRule="auto" w:before="0" w:after="0"/>
              <w:jc w:val="left"/>
            </w:pPr>
            <w:r>
              <w:rPr>
                <w:rFonts w:ascii="Calibri" w:hAnsi="Calibri"/>
                <w:b w:val="0"/>
                <w:color w:val="000000"/>
                <w:sz w:val="22"/>
              </w:rPr>
              <w:t>Caratinga</w:t>
            </w:r>
          </w:p>
        </w:tc>
        <w:tc>
          <w:tcPr>
            <w:tcW w:type="dxa" w:w="2480"/>
            <w:vAlign w:val="center"/>
          </w:tcPr>
          <w:p>
            <w:pPr>
              <w:spacing w:line="240" w:lineRule="auto" w:before="0" w:after="0"/>
              <w:jc w:val="left"/>
            </w:pPr>
            <w:r>
              <w:rPr>
                <w:rFonts w:ascii="Calibri" w:hAnsi="Calibri"/>
                <w:b w:val="0"/>
                <w:color w:val="000000"/>
                <w:sz w:val="22"/>
              </w:rPr>
              <w:t>Carlos Chagas</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Carmo da Mata</w:t>
            </w:r>
          </w:p>
        </w:tc>
        <w:tc>
          <w:tcPr>
            <w:tcW w:type="dxa" w:w="2480"/>
            <w:vAlign w:val="center"/>
            <w:shd w:fill="D9D9D9"/>
          </w:tcPr>
          <w:p>
            <w:pPr>
              <w:spacing w:line="240" w:lineRule="auto" w:before="0" w:after="0"/>
              <w:jc w:val="left"/>
            </w:pPr>
            <w:r>
              <w:rPr>
                <w:rFonts w:ascii="Calibri" w:hAnsi="Calibri"/>
                <w:b w:val="0"/>
                <w:color w:val="000000"/>
                <w:sz w:val="22"/>
              </w:rPr>
              <w:t>Carmo de Minas</w:t>
            </w:r>
          </w:p>
        </w:tc>
        <w:tc>
          <w:tcPr>
            <w:tcW w:type="dxa" w:w="2480"/>
            <w:vAlign w:val="center"/>
            <w:shd w:fill="D9D9D9"/>
          </w:tcPr>
          <w:p>
            <w:pPr>
              <w:spacing w:line="240" w:lineRule="auto" w:before="0" w:after="0"/>
              <w:jc w:val="left"/>
            </w:pPr>
            <w:r>
              <w:rPr>
                <w:rFonts w:ascii="Calibri" w:hAnsi="Calibri"/>
                <w:b w:val="0"/>
                <w:color w:val="000000"/>
                <w:sz w:val="22"/>
              </w:rPr>
              <w:t>Carmo do Cajuru</w:t>
            </w:r>
          </w:p>
        </w:tc>
        <w:tc>
          <w:tcPr>
            <w:tcW w:type="dxa" w:w="2480"/>
            <w:vAlign w:val="center"/>
            <w:shd w:fill="D9D9D9"/>
          </w:tcPr>
          <w:p>
            <w:pPr>
              <w:spacing w:line="240" w:lineRule="auto" w:before="0" w:after="0"/>
              <w:jc w:val="left"/>
            </w:pPr>
            <w:r>
              <w:rPr>
                <w:rFonts w:ascii="Calibri" w:hAnsi="Calibri"/>
                <w:b w:val="0"/>
                <w:color w:val="000000"/>
                <w:sz w:val="22"/>
              </w:rPr>
              <w:t>Carmo do Paranaíba</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Carmo do Rio Claro</w:t>
            </w:r>
          </w:p>
        </w:tc>
        <w:tc>
          <w:tcPr>
            <w:tcW w:type="dxa" w:w="2480"/>
            <w:vAlign w:val="center"/>
          </w:tcPr>
          <w:p>
            <w:pPr>
              <w:spacing w:line="240" w:lineRule="auto" w:before="0" w:after="0"/>
              <w:jc w:val="left"/>
            </w:pPr>
            <w:r>
              <w:rPr>
                <w:rFonts w:ascii="Calibri" w:hAnsi="Calibri"/>
                <w:b w:val="0"/>
                <w:color w:val="000000"/>
                <w:sz w:val="22"/>
              </w:rPr>
              <w:t>Carmópolis de Minas</w:t>
            </w:r>
          </w:p>
        </w:tc>
        <w:tc>
          <w:tcPr>
            <w:tcW w:type="dxa" w:w="2480"/>
            <w:vAlign w:val="center"/>
          </w:tcPr>
          <w:p>
            <w:pPr>
              <w:spacing w:line="240" w:lineRule="auto" w:before="0" w:after="0"/>
              <w:jc w:val="left"/>
            </w:pPr>
            <w:r>
              <w:rPr>
                <w:rFonts w:ascii="Calibri" w:hAnsi="Calibri"/>
                <w:b w:val="0"/>
                <w:color w:val="000000"/>
                <w:sz w:val="22"/>
              </w:rPr>
              <w:t>Cássia</w:t>
            </w:r>
          </w:p>
        </w:tc>
        <w:tc>
          <w:tcPr>
            <w:tcW w:type="dxa" w:w="2480"/>
            <w:vAlign w:val="center"/>
          </w:tcPr>
          <w:p>
            <w:pPr>
              <w:spacing w:line="240" w:lineRule="auto" w:before="0" w:after="0"/>
              <w:jc w:val="left"/>
            </w:pPr>
            <w:r>
              <w:rPr>
                <w:rFonts w:ascii="Calibri" w:hAnsi="Calibri"/>
                <w:b w:val="0"/>
                <w:color w:val="000000"/>
                <w:sz w:val="22"/>
              </w:rPr>
              <w:t>Cataguases</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Caxambu</w:t>
            </w:r>
          </w:p>
        </w:tc>
        <w:tc>
          <w:tcPr>
            <w:tcW w:type="dxa" w:w="2480"/>
            <w:vAlign w:val="center"/>
            <w:shd w:fill="D9D9D9"/>
          </w:tcPr>
          <w:p>
            <w:pPr>
              <w:spacing w:line="240" w:lineRule="auto" w:before="0" w:after="0"/>
              <w:jc w:val="left"/>
            </w:pPr>
            <w:r>
              <w:rPr>
                <w:rFonts w:ascii="Calibri" w:hAnsi="Calibri"/>
                <w:b w:val="0"/>
                <w:color w:val="000000"/>
                <w:sz w:val="22"/>
              </w:rPr>
              <w:t>Cláudio</w:t>
            </w:r>
          </w:p>
        </w:tc>
        <w:tc>
          <w:tcPr>
            <w:tcW w:type="dxa" w:w="2480"/>
            <w:vAlign w:val="center"/>
            <w:shd w:fill="D9D9D9"/>
          </w:tcPr>
          <w:p>
            <w:pPr>
              <w:spacing w:line="240" w:lineRule="auto" w:before="0" w:after="0"/>
              <w:jc w:val="left"/>
            </w:pPr>
            <w:r>
              <w:rPr>
                <w:rFonts w:ascii="Calibri" w:hAnsi="Calibri"/>
                <w:b w:val="0"/>
                <w:color w:val="000000"/>
                <w:sz w:val="22"/>
              </w:rPr>
              <w:t>Conceição das Alagoas</w:t>
            </w:r>
          </w:p>
        </w:tc>
        <w:tc>
          <w:tcPr>
            <w:tcW w:type="dxa" w:w="2480"/>
            <w:vAlign w:val="center"/>
            <w:shd w:fill="D9D9D9"/>
          </w:tcPr>
          <w:p>
            <w:pPr>
              <w:spacing w:line="240" w:lineRule="auto" w:before="0" w:after="0"/>
              <w:jc w:val="left"/>
            </w:pPr>
            <w:r>
              <w:rPr>
                <w:rFonts w:ascii="Calibri" w:hAnsi="Calibri"/>
                <w:b w:val="0"/>
                <w:color w:val="000000"/>
                <w:sz w:val="22"/>
              </w:rPr>
              <w:t>Conceição do Mato Dentro</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Conceição do Rio Verde</w:t>
            </w:r>
          </w:p>
        </w:tc>
        <w:tc>
          <w:tcPr>
            <w:tcW w:type="dxa" w:w="2480"/>
            <w:vAlign w:val="center"/>
          </w:tcPr>
          <w:p>
            <w:pPr>
              <w:spacing w:line="240" w:lineRule="auto" w:before="0" w:after="0"/>
              <w:jc w:val="left"/>
            </w:pPr>
            <w:r>
              <w:rPr>
                <w:rFonts w:ascii="Calibri" w:hAnsi="Calibri"/>
                <w:b w:val="0"/>
                <w:color w:val="000000"/>
                <w:sz w:val="22"/>
              </w:rPr>
              <w:t>Congonhas</w:t>
            </w:r>
          </w:p>
        </w:tc>
        <w:tc>
          <w:tcPr>
            <w:tcW w:type="dxa" w:w="2480"/>
            <w:vAlign w:val="center"/>
          </w:tcPr>
          <w:p>
            <w:pPr>
              <w:spacing w:line="240" w:lineRule="auto" w:before="0" w:after="0"/>
              <w:jc w:val="left"/>
            </w:pPr>
            <w:r>
              <w:rPr>
                <w:rFonts w:ascii="Calibri" w:hAnsi="Calibri"/>
                <w:b w:val="0"/>
                <w:color w:val="000000"/>
                <w:sz w:val="22"/>
              </w:rPr>
              <w:t>Conquista</w:t>
            </w:r>
          </w:p>
        </w:tc>
        <w:tc>
          <w:tcPr>
            <w:tcW w:type="dxa" w:w="2480"/>
            <w:vAlign w:val="center"/>
          </w:tcPr>
          <w:p>
            <w:pPr>
              <w:spacing w:line="240" w:lineRule="auto" w:before="0" w:after="0"/>
              <w:jc w:val="left"/>
            </w:pPr>
            <w:r>
              <w:rPr>
                <w:rFonts w:ascii="Calibri" w:hAnsi="Calibri"/>
                <w:b w:val="0"/>
                <w:color w:val="000000"/>
                <w:sz w:val="22"/>
              </w:rPr>
              <w:t>Conselheiro Lafaiete</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Conselheiro Pena</w:t>
            </w:r>
          </w:p>
        </w:tc>
        <w:tc>
          <w:tcPr>
            <w:tcW w:type="dxa" w:w="2480"/>
            <w:vAlign w:val="center"/>
            <w:shd w:fill="D9D9D9"/>
          </w:tcPr>
          <w:p>
            <w:pPr>
              <w:spacing w:line="240" w:lineRule="auto" w:before="0" w:after="0"/>
              <w:jc w:val="left"/>
            </w:pPr>
            <w:r>
              <w:rPr>
                <w:rFonts w:ascii="Calibri" w:hAnsi="Calibri"/>
                <w:b w:val="0"/>
                <w:color w:val="000000"/>
                <w:sz w:val="22"/>
              </w:rPr>
              <w:t>Contagem</w:t>
            </w:r>
          </w:p>
        </w:tc>
        <w:tc>
          <w:tcPr>
            <w:tcW w:type="dxa" w:w="2480"/>
            <w:vAlign w:val="center"/>
            <w:shd w:fill="D9D9D9"/>
          </w:tcPr>
          <w:p>
            <w:pPr>
              <w:spacing w:line="240" w:lineRule="auto" w:before="0" w:after="0"/>
              <w:jc w:val="left"/>
            </w:pPr>
            <w:r>
              <w:rPr>
                <w:rFonts w:ascii="Calibri" w:hAnsi="Calibri"/>
                <w:b w:val="0"/>
                <w:color w:val="000000"/>
                <w:sz w:val="22"/>
              </w:rPr>
              <w:t>Coração de Jesus</w:t>
            </w:r>
          </w:p>
        </w:tc>
        <w:tc>
          <w:tcPr>
            <w:tcW w:type="dxa" w:w="2480"/>
            <w:vAlign w:val="center"/>
            <w:shd w:fill="D9D9D9"/>
          </w:tcPr>
          <w:p>
            <w:pPr>
              <w:spacing w:line="240" w:lineRule="auto" w:before="0" w:after="0"/>
              <w:jc w:val="left"/>
            </w:pPr>
            <w:r>
              <w:rPr>
                <w:rFonts w:ascii="Calibri" w:hAnsi="Calibri"/>
                <w:b w:val="0"/>
                <w:color w:val="000000"/>
                <w:sz w:val="22"/>
              </w:rPr>
              <w:t>Corinto</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Coromandel</w:t>
            </w:r>
          </w:p>
        </w:tc>
        <w:tc>
          <w:tcPr>
            <w:tcW w:type="dxa" w:w="2480"/>
            <w:vAlign w:val="center"/>
          </w:tcPr>
          <w:p>
            <w:pPr>
              <w:spacing w:line="240" w:lineRule="auto" w:before="0" w:after="0"/>
              <w:jc w:val="left"/>
            </w:pPr>
            <w:r>
              <w:rPr>
                <w:rFonts w:ascii="Calibri" w:hAnsi="Calibri"/>
                <w:b w:val="0"/>
                <w:color w:val="000000"/>
                <w:sz w:val="22"/>
              </w:rPr>
              <w:t>Coronel Fabriciano</w:t>
            </w:r>
          </w:p>
        </w:tc>
        <w:tc>
          <w:tcPr>
            <w:tcW w:type="dxa" w:w="2480"/>
            <w:vAlign w:val="center"/>
          </w:tcPr>
          <w:p>
            <w:pPr>
              <w:spacing w:line="240" w:lineRule="auto" w:before="0" w:after="0"/>
              <w:jc w:val="left"/>
            </w:pPr>
            <w:r>
              <w:rPr>
                <w:rFonts w:ascii="Calibri" w:hAnsi="Calibri"/>
                <w:b w:val="0"/>
                <w:color w:val="000000"/>
                <w:sz w:val="22"/>
              </w:rPr>
              <w:t>Cristina</w:t>
            </w:r>
          </w:p>
        </w:tc>
        <w:tc>
          <w:tcPr>
            <w:tcW w:type="dxa" w:w="2480"/>
            <w:vAlign w:val="center"/>
          </w:tcPr>
          <w:p>
            <w:pPr>
              <w:spacing w:line="240" w:lineRule="auto" w:before="0" w:after="0"/>
              <w:jc w:val="left"/>
            </w:pPr>
            <w:r>
              <w:rPr>
                <w:rFonts w:ascii="Calibri" w:hAnsi="Calibri"/>
                <w:b w:val="0"/>
                <w:color w:val="000000"/>
                <w:sz w:val="22"/>
              </w:rPr>
              <w:t>Cruzília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Curvelo</w:t>
            </w:r>
          </w:p>
        </w:tc>
        <w:tc>
          <w:tcPr>
            <w:tcW w:type="dxa" w:w="2480"/>
            <w:vAlign w:val="center"/>
            <w:shd w:fill="D9D9D9"/>
          </w:tcPr>
          <w:p>
            <w:pPr>
              <w:spacing w:line="240" w:lineRule="auto" w:before="0" w:after="0"/>
              <w:jc w:val="left"/>
            </w:pPr>
            <w:r>
              <w:rPr>
                <w:rFonts w:ascii="Calibri" w:hAnsi="Calibri"/>
                <w:b w:val="0"/>
                <w:color w:val="000000"/>
                <w:sz w:val="22"/>
              </w:rPr>
              <w:t xml:space="preserve">Diamantina </w:t>
            </w:r>
          </w:p>
        </w:tc>
        <w:tc>
          <w:tcPr>
            <w:tcW w:type="dxa" w:w="2480"/>
            <w:vAlign w:val="center"/>
            <w:shd w:fill="D9D9D9"/>
          </w:tcPr>
          <w:p>
            <w:pPr>
              <w:spacing w:line="240" w:lineRule="auto" w:before="0" w:after="0"/>
              <w:jc w:val="left"/>
            </w:pPr>
            <w:r>
              <w:rPr>
                <w:rFonts w:ascii="Calibri" w:hAnsi="Calibri"/>
                <w:b w:val="0"/>
                <w:color w:val="000000"/>
                <w:sz w:val="22"/>
              </w:rPr>
              <w:t>Divino</w:t>
            </w:r>
          </w:p>
        </w:tc>
        <w:tc>
          <w:tcPr>
            <w:tcW w:type="dxa" w:w="2480"/>
            <w:vAlign w:val="center"/>
            <w:shd w:fill="D9D9D9"/>
          </w:tcPr>
          <w:p>
            <w:pPr>
              <w:spacing w:line="240" w:lineRule="auto" w:before="0" w:after="0"/>
              <w:jc w:val="left"/>
            </w:pPr>
            <w:r>
              <w:rPr>
                <w:rFonts w:ascii="Calibri" w:hAnsi="Calibri"/>
                <w:b w:val="0"/>
                <w:color w:val="000000"/>
                <w:sz w:val="22"/>
              </w:rPr>
              <w:t>Divinópolis</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Dores do Indaiá</w:t>
            </w:r>
          </w:p>
        </w:tc>
        <w:tc>
          <w:tcPr>
            <w:tcW w:type="dxa" w:w="2480"/>
            <w:vAlign w:val="center"/>
          </w:tcPr>
          <w:p>
            <w:pPr>
              <w:spacing w:line="240" w:lineRule="auto" w:before="0" w:after="0"/>
              <w:jc w:val="left"/>
            </w:pPr>
            <w:r>
              <w:rPr>
                <w:rFonts w:ascii="Calibri" w:hAnsi="Calibri"/>
                <w:b w:val="0"/>
                <w:color w:val="000000"/>
                <w:sz w:val="22"/>
              </w:rPr>
              <w:t>Elói Mendes</w:t>
            </w:r>
          </w:p>
        </w:tc>
        <w:tc>
          <w:tcPr>
            <w:tcW w:type="dxa" w:w="2480"/>
            <w:vAlign w:val="center"/>
          </w:tcPr>
          <w:p>
            <w:pPr>
              <w:spacing w:line="240" w:lineRule="auto" w:before="0" w:after="0"/>
              <w:jc w:val="left"/>
            </w:pPr>
            <w:r>
              <w:rPr>
                <w:rFonts w:ascii="Calibri" w:hAnsi="Calibri"/>
                <w:b w:val="0"/>
                <w:color w:val="000000"/>
                <w:sz w:val="22"/>
              </w:rPr>
              <w:t>Entre-Rios de Minas</w:t>
            </w:r>
          </w:p>
        </w:tc>
        <w:tc>
          <w:tcPr>
            <w:tcW w:type="dxa" w:w="2480"/>
            <w:vAlign w:val="center"/>
          </w:tcPr>
          <w:p>
            <w:pPr>
              <w:spacing w:line="240" w:lineRule="auto" w:before="0" w:after="0"/>
              <w:jc w:val="left"/>
            </w:pPr>
            <w:r>
              <w:rPr>
                <w:rFonts w:ascii="Calibri" w:hAnsi="Calibri"/>
                <w:b w:val="0"/>
                <w:color w:val="000000"/>
                <w:sz w:val="22"/>
              </w:rPr>
              <w:t>Ervália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Esmeraldas</w:t>
            </w:r>
          </w:p>
        </w:tc>
        <w:tc>
          <w:tcPr>
            <w:tcW w:type="dxa" w:w="2480"/>
            <w:vAlign w:val="center"/>
            <w:shd w:fill="D9D9D9"/>
          </w:tcPr>
          <w:p>
            <w:pPr>
              <w:spacing w:line="240" w:lineRule="auto" w:before="0" w:after="0"/>
              <w:jc w:val="left"/>
            </w:pPr>
            <w:r>
              <w:rPr>
                <w:rFonts w:ascii="Calibri" w:hAnsi="Calibri"/>
                <w:b w:val="0"/>
                <w:color w:val="000000"/>
                <w:sz w:val="22"/>
              </w:rPr>
              <w:t>Espera Feliz</w:t>
            </w:r>
          </w:p>
        </w:tc>
        <w:tc>
          <w:tcPr>
            <w:tcW w:type="dxa" w:w="2480"/>
            <w:vAlign w:val="center"/>
            <w:shd w:fill="D9D9D9"/>
          </w:tcPr>
          <w:p>
            <w:pPr>
              <w:spacing w:line="240" w:lineRule="auto" w:before="0" w:after="0"/>
              <w:jc w:val="left"/>
            </w:pPr>
            <w:r>
              <w:rPr>
                <w:rFonts w:ascii="Calibri" w:hAnsi="Calibri"/>
                <w:b w:val="0"/>
                <w:color w:val="000000"/>
                <w:sz w:val="22"/>
              </w:rPr>
              <w:t>Espinosa</w:t>
            </w:r>
          </w:p>
        </w:tc>
        <w:tc>
          <w:tcPr>
            <w:tcW w:type="dxa" w:w="2480"/>
            <w:vAlign w:val="center"/>
            <w:shd w:fill="D9D9D9"/>
          </w:tcPr>
          <w:p>
            <w:pPr>
              <w:spacing w:line="240" w:lineRule="auto" w:before="0" w:after="0"/>
              <w:jc w:val="left"/>
            </w:pPr>
            <w:r>
              <w:rPr>
                <w:rFonts w:ascii="Calibri" w:hAnsi="Calibri"/>
                <w:b w:val="0"/>
                <w:color w:val="000000"/>
                <w:sz w:val="22"/>
              </w:rPr>
              <w:t>Estrela do Sul</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Eugenópolis</w:t>
            </w:r>
          </w:p>
        </w:tc>
        <w:tc>
          <w:tcPr>
            <w:tcW w:type="dxa" w:w="2480"/>
            <w:vAlign w:val="center"/>
          </w:tcPr>
          <w:p>
            <w:pPr>
              <w:spacing w:line="240" w:lineRule="auto" w:before="0" w:after="0"/>
              <w:jc w:val="left"/>
            </w:pPr>
            <w:r>
              <w:rPr>
                <w:rFonts w:ascii="Calibri" w:hAnsi="Calibri"/>
                <w:b w:val="0"/>
                <w:color w:val="000000"/>
                <w:sz w:val="22"/>
              </w:rPr>
              <w:t>Extrema</w:t>
            </w:r>
          </w:p>
        </w:tc>
        <w:tc>
          <w:tcPr>
            <w:tcW w:type="dxa" w:w="2480"/>
            <w:vAlign w:val="center"/>
          </w:tcPr>
          <w:p>
            <w:pPr>
              <w:spacing w:line="240" w:lineRule="auto" w:before="0" w:after="0"/>
              <w:jc w:val="left"/>
            </w:pPr>
            <w:r>
              <w:rPr>
                <w:rFonts w:ascii="Calibri" w:hAnsi="Calibri"/>
                <w:b w:val="0"/>
                <w:color w:val="000000"/>
                <w:sz w:val="22"/>
              </w:rPr>
              <w:t>Ferros</w:t>
            </w:r>
          </w:p>
        </w:tc>
        <w:tc>
          <w:tcPr>
            <w:tcW w:type="dxa" w:w="2480"/>
            <w:vAlign w:val="center"/>
          </w:tcPr>
          <w:p>
            <w:pPr>
              <w:spacing w:line="240" w:lineRule="auto" w:before="0" w:after="0"/>
              <w:jc w:val="left"/>
            </w:pPr>
            <w:r>
              <w:rPr>
                <w:rFonts w:ascii="Calibri" w:hAnsi="Calibri"/>
                <w:b w:val="0"/>
                <w:color w:val="000000"/>
                <w:sz w:val="22"/>
              </w:rPr>
              <w:t>Formiga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Francisco Sá</w:t>
            </w:r>
          </w:p>
        </w:tc>
        <w:tc>
          <w:tcPr>
            <w:tcW w:type="dxa" w:w="2480"/>
            <w:vAlign w:val="center"/>
            <w:shd w:fill="D9D9D9"/>
          </w:tcPr>
          <w:p>
            <w:pPr>
              <w:spacing w:line="240" w:lineRule="auto" w:before="0" w:after="0"/>
              <w:jc w:val="left"/>
            </w:pPr>
            <w:r>
              <w:rPr>
                <w:rFonts w:ascii="Calibri" w:hAnsi="Calibri"/>
                <w:b w:val="0"/>
                <w:color w:val="000000"/>
                <w:sz w:val="22"/>
              </w:rPr>
              <w:t>Frutal</w:t>
            </w:r>
          </w:p>
        </w:tc>
        <w:tc>
          <w:tcPr>
            <w:tcW w:type="dxa" w:w="2480"/>
            <w:vAlign w:val="center"/>
            <w:shd w:fill="D9D9D9"/>
          </w:tcPr>
          <w:p>
            <w:pPr>
              <w:spacing w:line="240" w:lineRule="auto" w:before="0" w:after="0"/>
              <w:jc w:val="left"/>
            </w:pPr>
            <w:r>
              <w:rPr>
                <w:rFonts w:ascii="Calibri" w:hAnsi="Calibri"/>
                <w:b w:val="0"/>
                <w:color w:val="000000"/>
                <w:sz w:val="22"/>
              </w:rPr>
              <w:t>Galiléia</w:t>
            </w:r>
          </w:p>
        </w:tc>
        <w:tc>
          <w:tcPr>
            <w:tcW w:type="dxa" w:w="2480"/>
            <w:vAlign w:val="center"/>
            <w:shd w:fill="D9D9D9"/>
          </w:tcPr>
          <w:p>
            <w:pPr>
              <w:spacing w:line="240" w:lineRule="auto" w:before="0" w:after="0"/>
              <w:jc w:val="left"/>
            </w:pPr>
            <w:r>
              <w:rPr>
                <w:rFonts w:ascii="Calibri" w:hAnsi="Calibri"/>
                <w:b w:val="0"/>
                <w:color w:val="000000"/>
                <w:sz w:val="22"/>
              </w:rPr>
              <w:t>Governador Valadares</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Grão-Mogol</w:t>
            </w:r>
          </w:p>
        </w:tc>
        <w:tc>
          <w:tcPr>
            <w:tcW w:type="dxa" w:w="2480"/>
            <w:vAlign w:val="center"/>
          </w:tcPr>
          <w:p>
            <w:pPr>
              <w:spacing w:line="240" w:lineRule="auto" w:before="0" w:after="0"/>
              <w:jc w:val="left"/>
            </w:pPr>
            <w:r>
              <w:rPr>
                <w:rFonts w:ascii="Calibri" w:hAnsi="Calibri"/>
                <w:b w:val="0"/>
                <w:color w:val="000000"/>
                <w:sz w:val="22"/>
              </w:rPr>
              <w:t>Guanhães</w:t>
            </w:r>
          </w:p>
        </w:tc>
        <w:tc>
          <w:tcPr>
            <w:tcW w:type="dxa" w:w="2480"/>
            <w:vAlign w:val="center"/>
          </w:tcPr>
          <w:p>
            <w:pPr>
              <w:spacing w:line="240" w:lineRule="auto" w:before="0" w:after="0"/>
              <w:jc w:val="left"/>
            </w:pPr>
            <w:r>
              <w:rPr>
                <w:rFonts w:ascii="Calibri" w:hAnsi="Calibri"/>
                <w:b w:val="0"/>
                <w:color w:val="000000"/>
                <w:sz w:val="22"/>
              </w:rPr>
              <w:t>Guapé</w:t>
            </w:r>
          </w:p>
        </w:tc>
        <w:tc>
          <w:tcPr>
            <w:tcW w:type="dxa" w:w="2480"/>
            <w:vAlign w:val="center"/>
          </w:tcPr>
          <w:p>
            <w:pPr>
              <w:spacing w:line="240" w:lineRule="auto" w:before="0" w:after="0"/>
              <w:jc w:val="left"/>
            </w:pPr>
            <w:r>
              <w:rPr>
                <w:rFonts w:ascii="Calibri" w:hAnsi="Calibri"/>
                <w:b w:val="0"/>
                <w:color w:val="000000"/>
                <w:sz w:val="22"/>
              </w:rPr>
              <w:t>Guaranésia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Guarani</w:t>
            </w:r>
          </w:p>
        </w:tc>
        <w:tc>
          <w:tcPr>
            <w:tcW w:type="dxa" w:w="2480"/>
            <w:vAlign w:val="center"/>
            <w:shd w:fill="D9D9D9"/>
          </w:tcPr>
          <w:p>
            <w:pPr>
              <w:spacing w:line="240" w:lineRule="auto" w:before="0" w:after="0"/>
              <w:jc w:val="left"/>
            </w:pPr>
            <w:r>
              <w:rPr>
                <w:rFonts w:ascii="Calibri" w:hAnsi="Calibri"/>
                <w:b w:val="0"/>
                <w:color w:val="000000"/>
                <w:sz w:val="22"/>
              </w:rPr>
              <w:t>Guaxupé</w:t>
            </w:r>
          </w:p>
        </w:tc>
        <w:tc>
          <w:tcPr>
            <w:tcW w:type="dxa" w:w="2480"/>
            <w:vAlign w:val="center"/>
            <w:shd w:fill="D9D9D9"/>
          </w:tcPr>
          <w:p>
            <w:pPr>
              <w:spacing w:line="240" w:lineRule="auto" w:before="0" w:after="0"/>
              <w:jc w:val="left"/>
            </w:pPr>
            <w:r>
              <w:rPr>
                <w:rFonts w:ascii="Calibri" w:hAnsi="Calibri"/>
                <w:b w:val="0"/>
                <w:color w:val="000000"/>
                <w:sz w:val="22"/>
              </w:rPr>
              <w:t>Ibiá</w:t>
            </w:r>
          </w:p>
        </w:tc>
        <w:tc>
          <w:tcPr>
            <w:tcW w:type="dxa" w:w="2480"/>
            <w:vAlign w:val="center"/>
            <w:shd w:fill="D9D9D9"/>
          </w:tcPr>
          <w:p>
            <w:pPr>
              <w:spacing w:line="240" w:lineRule="auto" w:before="0" w:after="0"/>
              <w:jc w:val="left"/>
            </w:pPr>
            <w:r>
              <w:rPr>
                <w:rFonts w:ascii="Calibri" w:hAnsi="Calibri"/>
                <w:b w:val="0"/>
                <w:color w:val="000000"/>
                <w:sz w:val="22"/>
              </w:rPr>
              <w:t>Ibiraci</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Ibirité</w:t>
            </w:r>
          </w:p>
        </w:tc>
        <w:tc>
          <w:tcPr>
            <w:tcW w:type="dxa" w:w="2480"/>
            <w:vAlign w:val="center"/>
          </w:tcPr>
          <w:p>
            <w:pPr>
              <w:spacing w:line="240" w:lineRule="auto" w:before="0" w:after="0"/>
              <w:jc w:val="left"/>
            </w:pPr>
            <w:r>
              <w:rPr>
                <w:rFonts w:ascii="Calibri" w:hAnsi="Calibri"/>
                <w:b w:val="0"/>
                <w:color w:val="000000"/>
                <w:sz w:val="22"/>
              </w:rPr>
              <w:t>Igarapé</w:t>
            </w:r>
          </w:p>
        </w:tc>
        <w:tc>
          <w:tcPr>
            <w:tcW w:type="dxa" w:w="2480"/>
            <w:vAlign w:val="center"/>
          </w:tcPr>
          <w:p>
            <w:pPr>
              <w:spacing w:line="240" w:lineRule="auto" w:before="0" w:after="0"/>
              <w:jc w:val="left"/>
            </w:pPr>
            <w:r>
              <w:rPr>
                <w:rFonts w:ascii="Calibri" w:hAnsi="Calibri"/>
                <w:b w:val="0"/>
                <w:color w:val="000000"/>
                <w:sz w:val="22"/>
              </w:rPr>
              <w:t>Iguatama</w:t>
            </w:r>
          </w:p>
        </w:tc>
        <w:tc>
          <w:tcPr>
            <w:tcW w:type="dxa" w:w="2480"/>
            <w:vAlign w:val="center"/>
          </w:tcPr>
          <w:p>
            <w:pPr>
              <w:spacing w:line="240" w:lineRule="auto" w:before="0" w:after="0"/>
              <w:jc w:val="left"/>
            </w:pPr>
            <w:r>
              <w:rPr>
                <w:rFonts w:ascii="Calibri" w:hAnsi="Calibri"/>
                <w:b w:val="0"/>
                <w:color w:val="000000"/>
                <w:sz w:val="22"/>
              </w:rPr>
              <w:t>Inhapim</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Ipanema</w:t>
            </w:r>
          </w:p>
        </w:tc>
        <w:tc>
          <w:tcPr>
            <w:tcW w:type="dxa" w:w="2480"/>
            <w:vAlign w:val="center"/>
            <w:shd w:fill="D9D9D9"/>
          </w:tcPr>
          <w:p>
            <w:pPr>
              <w:spacing w:line="240" w:lineRule="auto" w:before="0" w:after="0"/>
              <w:jc w:val="left"/>
            </w:pPr>
            <w:r>
              <w:rPr>
                <w:rFonts w:ascii="Calibri" w:hAnsi="Calibri"/>
                <w:b w:val="0"/>
                <w:color w:val="000000"/>
                <w:sz w:val="22"/>
              </w:rPr>
              <w:t>Ipatinga</w:t>
            </w:r>
          </w:p>
        </w:tc>
        <w:tc>
          <w:tcPr>
            <w:tcW w:type="dxa" w:w="2480"/>
            <w:vAlign w:val="center"/>
            <w:shd w:fill="D9D9D9"/>
          </w:tcPr>
          <w:p>
            <w:pPr>
              <w:spacing w:line="240" w:lineRule="auto" w:before="0" w:after="0"/>
              <w:jc w:val="left"/>
            </w:pPr>
            <w:r>
              <w:rPr>
                <w:rFonts w:ascii="Calibri" w:hAnsi="Calibri"/>
                <w:b w:val="0"/>
                <w:color w:val="000000"/>
                <w:sz w:val="22"/>
              </w:rPr>
              <w:t>Itabira</w:t>
            </w:r>
          </w:p>
        </w:tc>
        <w:tc>
          <w:tcPr>
            <w:tcW w:type="dxa" w:w="2480"/>
            <w:vAlign w:val="center"/>
            <w:shd w:fill="D9D9D9"/>
          </w:tcPr>
          <w:p>
            <w:pPr>
              <w:spacing w:line="240" w:lineRule="auto" w:before="0" w:after="0"/>
              <w:jc w:val="left"/>
            </w:pPr>
            <w:r>
              <w:rPr>
                <w:rFonts w:ascii="Calibri" w:hAnsi="Calibri"/>
                <w:b w:val="0"/>
                <w:color w:val="000000"/>
                <w:sz w:val="22"/>
              </w:rPr>
              <w:t>Itabirito</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Itaguara</w:t>
            </w:r>
          </w:p>
        </w:tc>
        <w:tc>
          <w:tcPr>
            <w:tcW w:type="dxa" w:w="2480"/>
            <w:vAlign w:val="center"/>
          </w:tcPr>
          <w:p>
            <w:pPr>
              <w:spacing w:line="240" w:lineRule="auto" w:before="0" w:after="0"/>
              <w:jc w:val="left"/>
            </w:pPr>
            <w:r>
              <w:rPr>
                <w:rFonts w:ascii="Calibri" w:hAnsi="Calibri"/>
                <w:b w:val="0"/>
                <w:color w:val="000000"/>
                <w:sz w:val="22"/>
              </w:rPr>
              <w:t>Itajubá</w:t>
            </w:r>
          </w:p>
        </w:tc>
        <w:tc>
          <w:tcPr>
            <w:tcW w:type="dxa" w:w="2480"/>
            <w:vAlign w:val="center"/>
          </w:tcPr>
          <w:p>
            <w:pPr>
              <w:spacing w:line="240" w:lineRule="auto" w:before="0" w:after="0"/>
              <w:jc w:val="left"/>
            </w:pPr>
            <w:r>
              <w:rPr>
                <w:rFonts w:ascii="Calibri" w:hAnsi="Calibri"/>
                <w:b w:val="0"/>
                <w:color w:val="000000"/>
                <w:sz w:val="22"/>
              </w:rPr>
              <w:t>Itamarandiba</w:t>
            </w:r>
          </w:p>
        </w:tc>
        <w:tc>
          <w:tcPr>
            <w:tcW w:type="dxa" w:w="2480"/>
            <w:vAlign w:val="center"/>
          </w:tcPr>
          <w:p>
            <w:pPr>
              <w:spacing w:line="240" w:lineRule="auto" w:before="0" w:after="0"/>
              <w:jc w:val="left"/>
            </w:pPr>
            <w:r>
              <w:rPr>
                <w:rFonts w:ascii="Calibri" w:hAnsi="Calibri"/>
                <w:b w:val="0"/>
                <w:color w:val="000000"/>
                <w:sz w:val="22"/>
              </w:rPr>
              <w:t>Itambacuri</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Itamogi</w:t>
            </w:r>
          </w:p>
        </w:tc>
        <w:tc>
          <w:tcPr>
            <w:tcW w:type="dxa" w:w="2480"/>
            <w:vAlign w:val="center"/>
            <w:shd w:fill="D9D9D9"/>
          </w:tcPr>
          <w:p>
            <w:pPr>
              <w:spacing w:line="240" w:lineRule="auto" w:before="0" w:after="0"/>
              <w:jc w:val="left"/>
            </w:pPr>
            <w:r>
              <w:rPr>
                <w:rFonts w:ascii="Calibri" w:hAnsi="Calibri"/>
                <w:b w:val="0"/>
                <w:color w:val="000000"/>
                <w:sz w:val="22"/>
              </w:rPr>
              <w:t>Itamonte</w:t>
            </w:r>
          </w:p>
        </w:tc>
        <w:tc>
          <w:tcPr>
            <w:tcW w:type="dxa" w:w="2480"/>
            <w:vAlign w:val="center"/>
            <w:shd w:fill="D9D9D9"/>
          </w:tcPr>
          <w:p>
            <w:pPr>
              <w:spacing w:line="240" w:lineRule="auto" w:before="0" w:after="0"/>
              <w:jc w:val="left"/>
            </w:pPr>
            <w:r>
              <w:rPr>
                <w:rFonts w:ascii="Calibri" w:hAnsi="Calibri"/>
                <w:b w:val="0"/>
                <w:color w:val="000000"/>
                <w:sz w:val="22"/>
              </w:rPr>
              <w:t>Itanhandu</w:t>
            </w:r>
          </w:p>
        </w:tc>
        <w:tc>
          <w:tcPr>
            <w:tcW w:type="dxa" w:w="2480"/>
            <w:vAlign w:val="center"/>
            <w:shd w:fill="D9D9D9"/>
          </w:tcPr>
          <w:p>
            <w:pPr>
              <w:spacing w:line="240" w:lineRule="auto" w:before="0" w:after="0"/>
              <w:jc w:val="left"/>
            </w:pPr>
            <w:r>
              <w:rPr>
                <w:rFonts w:ascii="Calibri" w:hAnsi="Calibri"/>
                <w:b w:val="0"/>
                <w:color w:val="000000"/>
                <w:sz w:val="22"/>
              </w:rPr>
              <w:t>Itanhomi</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Itapagipe</w:t>
            </w:r>
          </w:p>
        </w:tc>
        <w:tc>
          <w:tcPr>
            <w:tcW w:type="dxa" w:w="2480"/>
            <w:vAlign w:val="center"/>
          </w:tcPr>
          <w:p>
            <w:pPr>
              <w:spacing w:line="240" w:lineRule="auto" w:before="0" w:after="0"/>
              <w:jc w:val="left"/>
            </w:pPr>
            <w:r>
              <w:rPr>
                <w:rFonts w:ascii="Calibri" w:hAnsi="Calibri"/>
                <w:b w:val="0"/>
                <w:color w:val="000000"/>
                <w:sz w:val="22"/>
              </w:rPr>
              <w:t>Itapecerica</w:t>
            </w:r>
          </w:p>
        </w:tc>
        <w:tc>
          <w:tcPr>
            <w:tcW w:type="dxa" w:w="2480"/>
            <w:vAlign w:val="center"/>
          </w:tcPr>
          <w:p>
            <w:pPr>
              <w:spacing w:line="240" w:lineRule="auto" w:before="0" w:after="0"/>
              <w:jc w:val="left"/>
            </w:pPr>
            <w:r>
              <w:rPr>
                <w:rFonts w:ascii="Calibri" w:hAnsi="Calibri"/>
                <w:b w:val="0"/>
                <w:color w:val="000000"/>
                <w:sz w:val="22"/>
              </w:rPr>
              <w:t>Itaúna</w:t>
            </w:r>
          </w:p>
        </w:tc>
        <w:tc>
          <w:tcPr>
            <w:tcW w:type="dxa" w:w="2480"/>
            <w:vAlign w:val="center"/>
          </w:tcPr>
          <w:p>
            <w:pPr>
              <w:spacing w:line="240" w:lineRule="auto" w:before="0" w:after="0"/>
              <w:jc w:val="left"/>
            </w:pPr>
            <w:r>
              <w:rPr>
                <w:rFonts w:ascii="Calibri" w:hAnsi="Calibri"/>
                <w:b w:val="0"/>
                <w:color w:val="000000"/>
                <w:sz w:val="22"/>
              </w:rPr>
              <w:t>Ituiutaba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Itumirim</w:t>
            </w:r>
          </w:p>
        </w:tc>
        <w:tc>
          <w:tcPr>
            <w:tcW w:type="dxa" w:w="2480"/>
            <w:vAlign w:val="center"/>
            <w:shd w:fill="D9D9D9"/>
          </w:tcPr>
          <w:p>
            <w:pPr>
              <w:spacing w:line="240" w:lineRule="auto" w:before="0" w:after="0"/>
              <w:jc w:val="left"/>
            </w:pPr>
            <w:r>
              <w:rPr>
                <w:rFonts w:ascii="Calibri" w:hAnsi="Calibri"/>
                <w:b w:val="0"/>
                <w:color w:val="000000"/>
                <w:sz w:val="22"/>
              </w:rPr>
              <w:t>Iturama</w:t>
            </w:r>
          </w:p>
        </w:tc>
        <w:tc>
          <w:tcPr>
            <w:tcW w:type="dxa" w:w="2480"/>
            <w:vAlign w:val="center"/>
            <w:shd w:fill="D9D9D9"/>
          </w:tcPr>
          <w:p>
            <w:pPr>
              <w:spacing w:line="240" w:lineRule="auto" w:before="0" w:after="0"/>
              <w:jc w:val="left"/>
            </w:pPr>
            <w:r>
              <w:rPr>
                <w:rFonts w:ascii="Calibri" w:hAnsi="Calibri"/>
                <w:b w:val="0"/>
                <w:color w:val="000000"/>
                <w:sz w:val="22"/>
              </w:rPr>
              <w:t>Jaboticatubas</w:t>
            </w:r>
          </w:p>
        </w:tc>
        <w:tc>
          <w:tcPr>
            <w:tcW w:type="dxa" w:w="2480"/>
            <w:vAlign w:val="center"/>
            <w:shd w:fill="D9D9D9"/>
          </w:tcPr>
          <w:p>
            <w:pPr>
              <w:spacing w:line="240" w:lineRule="auto" w:before="0" w:after="0"/>
              <w:jc w:val="left"/>
            </w:pPr>
            <w:r>
              <w:rPr>
                <w:rFonts w:ascii="Calibri" w:hAnsi="Calibri"/>
                <w:b w:val="0"/>
                <w:color w:val="000000"/>
                <w:sz w:val="22"/>
              </w:rPr>
              <w:t>Jacinto</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Jacuí</w:t>
            </w:r>
          </w:p>
        </w:tc>
        <w:tc>
          <w:tcPr>
            <w:tcW w:type="dxa" w:w="2480"/>
            <w:vAlign w:val="center"/>
          </w:tcPr>
          <w:p>
            <w:pPr>
              <w:spacing w:line="240" w:lineRule="auto" w:before="0" w:after="0"/>
              <w:jc w:val="left"/>
            </w:pPr>
            <w:r>
              <w:rPr>
                <w:rFonts w:ascii="Calibri" w:hAnsi="Calibri"/>
                <w:b w:val="0"/>
                <w:color w:val="000000"/>
                <w:sz w:val="22"/>
              </w:rPr>
              <w:t>Jacutinga</w:t>
            </w:r>
          </w:p>
        </w:tc>
        <w:tc>
          <w:tcPr>
            <w:tcW w:type="dxa" w:w="2480"/>
            <w:vAlign w:val="center"/>
          </w:tcPr>
          <w:p>
            <w:pPr>
              <w:spacing w:line="240" w:lineRule="auto" w:before="0" w:after="0"/>
              <w:jc w:val="left"/>
            </w:pPr>
            <w:r>
              <w:rPr>
                <w:rFonts w:ascii="Calibri" w:hAnsi="Calibri"/>
                <w:b w:val="0"/>
                <w:color w:val="000000"/>
                <w:sz w:val="22"/>
              </w:rPr>
              <w:t>Jaíba</w:t>
            </w:r>
          </w:p>
        </w:tc>
        <w:tc>
          <w:tcPr>
            <w:tcW w:type="dxa" w:w="2480"/>
            <w:vAlign w:val="center"/>
          </w:tcPr>
          <w:p>
            <w:pPr>
              <w:spacing w:line="240" w:lineRule="auto" w:before="0" w:after="0"/>
              <w:jc w:val="left"/>
            </w:pPr>
            <w:r>
              <w:rPr>
                <w:rFonts w:ascii="Calibri" w:hAnsi="Calibri"/>
                <w:b w:val="0"/>
                <w:color w:val="000000"/>
                <w:sz w:val="22"/>
              </w:rPr>
              <w:t>Janaúba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Januária</w:t>
            </w:r>
          </w:p>
        </w:tc>
        <w:tc>
          <w:tcPr>
            <w:tcW w:type="dxa" w:w="2480"/>
            <w:vAlign w:val="center"/>
            <w:shd w:fill="D9D9D9"/>
          </w:tcPr>
          <w:p>
            <w:pPr>
              <w:spacing w:line="240" w:lineRule="auto" w:before="0" w:after="0"/>
              <w:jc w:val="left"/>
            </w:pPr>
            <w:r>
              <w:rPr>
                <w:rFonts w:ascii="Calibri" w:hAnsi="Calibri"/>
                <w:b w:val="0"/>
                <w:color w:val="000000"/>
                <w:sz w:val="22"/>
              </w:rPr>
              <w:t>Jequeri</w:t>
            </w:r>
          </w:p>
        </w:tc>
        <w:tc>
          <w:tcPr>
            <w:tcW w:type="dxa" w:w="2480"/>
            <w:vAlign w:val="center"/>
            <w:shd w:fill="D9D9D9"/>
          </w:tcPr>
          <w:p>
            <w:pPr>
              <w:spacing w:line="240" w:lineRule="auto" w:before="0" w:after="0"/>
              <w:jc w:val="left"/>
            </w:pPr>
            <w:r>
              <w:rPr>
                <w:rFonts w:ascii="Calibri" w:hAnsi="Calibri"/>
                <w:b w:val="0"/>
                <w:color w:val="000000"/>
                <w:sz w:val="22"/>
              </w:rPr>
              <w:t>Jequitinhonha</w:t>
            </w:r>
          </w:p>
        </w:tc>
        <w:tc>
          <w:tcPr>
            <w:tcW w:type="dxa" w:w="2480"/>
            <w:vAlign w:val="center"/>
            <w:shd w:fill="D9D9D9"/>
          </w:tcPr>
          <w:p>
            <w:pPr>
              <w:spacing w:line="240" w:lineRule="auto" w:before="0" w:after="0"/>
              <w:jc w:val="left"/>
            </w:pPr>
            <w:r>
              <w:rPr>
                <w:rFonts w:ascii="Calibri" w:hAnsi="Calibri"/>
                <w:b w:val="0"/>
                <w:color w:val="000000"/>
                <w:sz w:val="22"/>
              </w:rPr>
              <w:t>João Monlevade</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João Pinheiro</w:t>
            </w:r>
          </w:p>
        </w:tc>
        <w:tc>
          <w:tcPr>
            <w:tcW w:type="dxa" w:w="2480"/>
            <w:vAlign w:val="center"/>
          </w:tcPr>
          <w:p>
            <w:pPr>
              <w:spacing w:line="240" w:lineRule="auto" w:before="0" w:after="0"/>
              <w:jc w:val="left"/>
            </w:pPr>
            <w:r>
              <w:rPr>
                <w:rFonts w:ascii="Calibri" w:hAnsi="Calibri"/>
                <w:b w:val="0"/>
                <w:color w:val="000000"/>
                <w:sz w:val="22"/>
              </w:rPr>
              <w:t>Juatuba</w:t>
            </w:r>
          </w:p>
        </w:tc>
        <w:tc>
          <w:tcPr>
            <w:tcW w:type="dxa" w:w="2480"/>
            <w:vAlign w:val="center"/>
          </w:tcPr>
          <w:p>
            <w:pPr>
              <w:spacing w:line="240" w:lineRule="auto" w:before="0" w:after="0"/>
              <w:jc w:val="left"/>
            </w:pPr>
            <w:r>
              <w:rPr>
                <w:rFonts w:ascii="Calibri" w:hAnsi="Calibri"/>
                <w:b w:val="0"/>
                <w:color w:val="000000"/>
                <w:sz w:val="22"/>
              </w:rPr>
              <w:t>Juíz de Fora</w:t>
            </w:r>
          </w:p>
        </w:tc>
        <w:tc>
          <w:tcPr>
            <w:tcW w:type="dxa" w:w="2480"/>
            <w:vAlign w:val="center"/>
          </w:tcPr>
          <w:p>
            <w:pPr>
              <w:spacing w:line="240" w:lineRule="auto" w:before="0" w:after="0"/>
              <w:jc w:val="left"/>
            </w:pPr>
            <w:r>
              <w:rPr>
                <w:rFonts w:ascii="Calibri" w:hAnsi="Calibri"/>
                <w:b w:val="0"/>
                <w:color w:val="000000"/>
                <w:sz w:val="22"/>
              </w:rPr>
              <w:t>Lagoa da Prata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Lagoa Santa</w:t>
            </w:r>
          </w:p>
        </w:tc>
        <w:tc>
          <w:tcPr>
            <w:tcW w:type="dxa" w:w="2480"/>
            <w:vAlign w:val="center"/>
            <w:shd w:fill="D9D9D9"/>
          </w:tcPr>
          <w:p>
            <w:pPr>
              <w:spacing w:line="240" w:lineRule="auto" w:before="0" w:after="0"/>
              <w:jc w:val="left"/>
            </w:pPr>
            <w:r>
              <w:rPr>
                <w:rFonts w:ascii="Calibri" w:hAnsi="Calibri"/>
                <w:b w:val="0"/>
                <w:color w:val="000000"/>
                <w:sz w:val="22"/>
              </w:rPr>
              <w:t>Lajinha</w:t>
            </w:r>
          </w:p>
        </w:tc>
        <w:tc>
          <w:tcPr>
            <w:tcW w:type="dxa" w:w="2480"/>
            <w:vAlign w:val="center"/>
            <w:shd w:fill="D9D9D9"/>
          </w:tcPr>
          <w:p>
            <w:pPr>
              <w:spacing w:line="240" w:lineRule="auto" w:before="0" w:after="0"/>
              <w:jc w:val="left"/>
            </w:pPr>
            <w:r>
              <w:rPr>
                <w:rFonts w:ascii="Calibri" w:hAnsi="Calibri"/>
                <w:b w:val="0"/>
                <w:color w:val="000000"/>
                <w:sz w:val="22"/>
              </w:rPr>
              <w:t>Lambari</w:t>
            </w:r>
          </w:p>
        </w:tc>
        <w:tc>
          <w:tcPr>
            <w:tcW w:type="dxa" w:w="2480"/>
            <w:vAlign w:val="center"/>
            <w:shd w:fill="D9D9D9"/>
          </w:tcPr>
          <w:p>
            <w:pPr>
              <w:spacing w:line="240" w:lineRule="auto" w:before="0" w:after="0"/>
              <w:jc w:val="left"/>
            </w:pPr>
            <w:r>
              <w:rPr>
                <w:rFonts w:ascii="Calibri" w:hAnsi="Calibri"/>
                <w:b w:val="0"/>
                <w:color w:val="000000"/>
                <w:sz w:val="22"/>
              </w:rPr>
              <w:t>Lavras</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Leopoldina</w:t>
            </w:r>
          </w:p>
        </w:tc>
        <w:tc>
          <w:tcPr>
            <w:tcW w:type="dxa" w:w="2480"/>
            <w:vAlign w:val="center"/>
          </w:tcPr>
          <w:p>
            <w:pPr>
              <w:spacing w:line="240" w:lineRule="auto" w:before="0" w:after="0"/>
              <w:jc w:val="left"/>
            </w:pPr>
            <w:r>
              <w:rPr>
                <w:rFonts w:ascii="Calibri" w:hAnsi="Calibri"/>
                <w:b w:val="0"/>
                <w:color w:val="000000"/>
                <w:sz w:val="22"/>
              </w:rPr>
              <w:t>Lima Duarte</w:t>
            </w:r>
          </w:p>
        </w:tc>
        <w:tc>
          <w:tcPr>
            <w:tcW w:type="dxa" w:w="2480"/>
            <w:vAlign w:val="center"/>
          </w:tcPr>
          <w:p>
            <w:pPr>
              <w:spacing w:line="240" w:lineRule="auto" w:before="0" w:after="0"/>
              <w:jc w:val="left"/>
            </w:pPr>
            <w:r>
              <w:rPr>
                <w:rFonts w:ascii="Calibri" w:hAnsi="Calibri"/>
                <w:b w:val="0"/>
                <w:color w:val="000000"/>
                <w:sz w:val="22"/>
              </w:rPr>
              <w:t>Luz</w:t>
            </w:r>
          </w:p>
        </w:tc>
        <w:tc>
          <w:tcPr>
            <w:tcW w:type="dxa" w:w="2480"/>
            <w:vAlign w:val="center"/>
          </w:tcPr>
          <w:p>
            <w:pPr>
              <w:spacing w:line="240" w:lineRule="auto" w:before="0" w:after="0"/>
              <w:jc w:val="left"/>
            </w:pPr>
            <w:r>
              <w:rPr>
                <w:rFonts w:ascii="Calibri" w:hAnsi="Calibri"/>
                <w:b w:val="0"/>
                <w:color w:val="000000"/>
                <w:sz w:val="22"/>
              </w:rPr>
              <w:t>Machado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Malacacheta</w:t>
            </w:r>
          </w:p>
        </w:tc>
        <w:tc>
          <w:tcPr>
            <w:tcW w:type="dxa" w:w="2480"/>
            <w:vAlign w:val="center"/>
            <w:shd w:fill="D9D9D9"/>
          </w:tcPr>
          <w:p>
            <w:pPr>
              <w:spacing w:line="240" w:lineRule="auto" w:before="0" w:after="0"/>
              <w:jc w:val="left"/>
            </w:pPr>
            <w:r>
              <w:rPr>
                <w:rFonts w:ascii="Calibri" w:hAnsi="Calibri"/>
                <w:b w:val="0"/>
                <w:color w:val="000000"/>
                <w:sz w:val="22"/>
              </w:rPr>
              <w:t>Manga</w:t>
            </w:r>
          </w:p>
        </w:tc>
        <w:tc>
          <w:tcPr>
            <w:tcW w:type="dxa" w:w="2480"/>
            <w:vAlign w:val="center"/>
            <w:shd w:fill="D9D9D9"/>
          </w:tcPr>
          <w:p>
            <w:pPr>
              <w:spacing w:line="240" w:lineRule="auto" w:before="0" w:after="0"/>
              <w:jc w:val="left"/>
            </w:pPr>
            <w:r>
              <w:rPr>
                <w:rFonts w:ascii="Calibri" w:hAnsi="Calibri"/>
                <w:b w:val="0"/>
                <w:color w:val="000000"/>
                <w:sz w:val="22"/>
              </w:rPr>
              <w:t>Manhuaçu</w:t>
            </w:r>
          </w:p>
        </w:tc>
        <w:tc>
          <w:tcPr>
            <w:tcW w:type="dxa" w:w="2480"/>
            <w:vAlign w:val="center"/>
            <w:shd w:fill="D9D9D9"/>
          </w:tcPr>
          <w:p>
            <w:pPr>
              <w:spacing w:line="240" w:lineRule="auto" w:before="0" w:after="0"/>
              <w:jc w:val="left"/>
            </w:pPr>
            <w:r>
              <w:rPr>
                <w:rFonts w:ascii="Calibri" w:hAnsi="Calibri"/>
                <w:b w:val="0"/>
                <w:color w:val="000000"/>
                <w:sz w:val="22"/>
              </w:rPr>
              <w:t>Manhumirim</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Mantena</w:t>
            </w:r>
          </w:p>
        </w:tc>
        <w:tc>
          <w:tcPr>
            <w:tcW w:type="dxa" w:w="2480"/>
            <w:vAlign w:val="center"/>
          </w:tcPr>
          <w:p>
            <w:pPr>
              <w:spacing w:line="240" w:lineRule="auto" w:before="0" w:after="0"/>
              <w:jc w:val="left"/>
            </w:pPr>
            <w:r>
              <w:rPr>
                <w:rFonts w:ascii="Calibri" w:hAnsi="Calibri"/>
                <w:b w:val="0"/>
                <w:color w:val="000000"/>
                <w:sz w:val="22"/>
              </w:rPr>
              <w:t>Mar de Espanha</w:t>
            </w:r>
          </w:p>
        </w:tc>
        <w:tc>
          <w:tcPr>
            <w:tcW w:type="dxa" w:w="2480"/>
            <w:vAlign w:val="center"/>
          </w:tcPr>
          <w:p>
            <w:pPr>
              <w:spacing w:line="240" w:lineRule="auto" w:before="0" w:after="0"/>
              <w:jc w:val="left"/>
            </w:pPr>
            <w:r>
              <w:rPr>
                <w:rFonts w:ascii="Calibri" w:hAnsi="Calibri"/>
                <w:b w:val="0"/>
                <w:color w:val="000000"/>
                <w:sz w:val="22"/>
              </w:rPr>
              <w:t>Mariana</w:t>
            </w:r>
          </w:p>
        </w:tc>
        <w:tc>
          <w:tcPr>
            <w:tcW w:type="dxa" w:w="2480"/>
            <w:vAlign w:val="center"/>
          </w:tcPr>
          <w:p>
            <w:pPr>
              <w:spacing w:line="240" w:lineRule="auto" w:before="0" w:after="0"/>
              <w:jc w:val="left"/>
            </w:pPr>
            <w:r>
              <w:rPr>
                <w:rFonts w:ascii="Calibri" w:hAnsi="Calibri"/>
                <w:b w:val="0"/>
                <w:color w:val="000000"/>
                <w:sz w:val="22"/>
              </w:rPr>
              <w:t>Martinho Campos</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Mateus Leme</w:t>
            </w:r>
          </w:p>
        </w:tc>
        <w:tc>
          <w:tcPr>
            <w:tcW w:type="dxa" w:w="2480"/>
            <w:vAlign w:val="center"/>
            <w:shd w:fill="D9D9D9"/>
          </w:tcPr>
          <w:p>
            <w:pPr>
              <w:spacing w:line="240" w:lineRule="auto" w:before="0" w:after="0"/>
              <w:jc w:val="left"/>
            </w:pPr>
            <w:r>
              <w:rPr>
                <w:rFonts w:ascii="Calibri" w:hAnsi="Calibri"/>
                <w:b w:val="0"/>
                <w:color w:val="000000"/>
                <w:sz w:val="22"/>
              </w:rPr>
              <w:t>Matias Barbosa</w:t>
            </w:r>
          </w:p>
        </w:tc>
        <w:tc>
          <w:tcPr>
            <w:tcW w:type="dxa" w:w="2480"/>
            <w:vAlign w:val="center"/>
            <w:shd w:fill="D9D9D9"/>
          </w:tcPr>
          <w:p>
            <w:pPr>
              <w:spacing w:line="240" w:lineRule="auto" w:before="0" w:after="0"/>
              <w:jc w:val="left"/>
            </w:pPr>
            <w:r>
              <w:rPr>
                <w:rFonts w:ascii="Calibri" w:hAnsi="Calibri"/>
                <w:b w:val="0"/>
                <w:color w:val="000000"/>
                <w:sz w:val="22"/>
              </w:rPr>
              <w:t>Matozinhos</w:t>
            </w:r>
          </w:p>
        </w:tc>
        <w:tc>
          <w:tcPr>
            <w:tcW w:type="dxa" w:w="2480"/>
            <w:vAlign w:val="center"/>
            <w:shd w:fill="D9D9D9"/>
          </w:tcPr>
          <w:p>
            <w:pPr>
              <w:spacing w:line="240" w:lineRule="auto" w:before="0" w:after="0"/>
              <w:jc w:val="left"/>
            </w:pPr>
            <w:r>
              <w:rPr>
                <w:rFonts w:ascii="Calibri" w:hAnsi="Calibri"/>
                <w:b w:val="0"/>
                <w:color w:val="000000"/>
                <w:sz w:val="22"/>
              </w:rPr>
              <w:t>Medina</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Mercês</w:t>
            </w:r>
          </w:p>
        </w:tc>
        <w:tc>
          <w:tcPr>
            <w:tcW w:type="dxa" w:w="2480"/>
            <w:vAlign w:val="center"/>
          </w:tcPr>
          <w:p>
            <w:pPr>
              <w:spacing w:line="240" w:lineRule="auto" w:before="0" w:after="0"/>
              <w:jc w:val="left"/>
            </w:pPr>
            <w:r>
              <w:rPr>
                <w:rFonts w:ascii="Calibri" w:hAnsi="Calibri"/>
                <w:b w:val="0"/>
                <w:color w:val="000000"/>
                <w:sz w:val="22"/>
              </w:rPr>
              <w:t>Mesquita</w:t>
            </w:r>
          </w:p>
        </w:tc>
        <w:tc>
          <w:tcPr>
            <w:tcW w:type="dxa" w:w="2480"/>
            <w:vAlign w:val="center"/>
          </w:tcPr>
          <w:p>
            <w:pPr>
              <w:spacing w:line="240" w:lineRule="auto" w:before="0" w:after="0"/>
              <w:jc w:val="left"/>
            </w:pPr>
            <w:r>
              <w:rPr>
                <w:rFonts w:ascii="Calibri" w:hAnsi="Calibri"/>
                <w:b w:val="0"/>
                <w:color w:val="000000"/>
                <w:sz w:val="22"/>
              </w:rPr>
              <w:t>Minas Novas</w:t>
            </w:r>
          </w:p>
        </w:tc>
        <w:tc>
          <w:tcPr>
            <w:tcW w:type="dxa" w:w="2480"/>
            <w:vAlign w:val="center"/>
          </w:tcPr>
          <w:p>
            <w:pPr>
              <w:spacing w:line="240" w:lineRule="auto" w:before="0" w:after="0"/>
              <w:jc w:val="left"/>
            </w:pPr>
            <w:r>
              <w:rPr>
                <w:rFonts w:ascii="Calibri" w:hAnsi="Calibri"/>
                <w:b w:val="0"/>
                <w:color w:val="000000"/>
                <w:sz w:val="22"/>
              </w:rPr>
              <w:t>Miradouro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Miraí</w:t>
            </w:r>
          </w:p>
        </w:tc>
        <w:tc>
          <w:tcPr>
            <w:tcW w:type="dxa" w:w="2480"/>
            <w:vAlign w:val="center"/>
            <w:shd w:fill="D9D9D9"/>
          </w:tcPr>
          <w:p>
            <w:pPr>
              <w:spacing w:line="240" w:lineRule="auto" w:before="0" w:after="0"/>
              <w:jc w:val="left"/>
            </w:pPr>
            <w:r>
              <w:rPr>
                <w:rFonts w:ascii="Calibri" w:hAnsi="Calibri"/>
                <w:b w:val="0"/>
                <w:color w:val="000000"/>
                <w:sz w:val="22"/>
              </w:rPr>
              <w:t>Montalvânia</w:t>
            </w:r>
          </w:p>
        </w:tc>
        <w:tc>
          <w:tcPr>
            <w:tcW w:type="dxa" w:w="2480"/>
            <w:vAlign w:val="center"/>
            <w:shd w:fill="D9D9D9"/>
          </w:tcPr>
          <w:p>
            <w:pPr>
              <w:spacing w:line="240" w:lineRule="auto" w:before="0" w:after="0"/>
              <w:jc w:val="left"/>
            </w:pPr>
            <w:r>
              <w:rPr>
                <w:rFonts w:ascii="Calibri" w:hAnsi="Calibri"/>
                <w:b w:val="0"/>
                <w:color w:val="000000"/>
                <w:sz w:val="22"/>
              </w:rPr>
              <w:t>Monte Alegre de Minas</w:t>
            </w:r>
          </w:p>
        </w:tc>
        <w:tc>
          <w:tcPr>
            <w:tcW w:type="dxa" w:w="2480"/>
            <w:vAlign w:val="center"/>
            <w:shd w:fill="D9D9D9"/>
          </w:tcPr>
          <w:p>
            <w:pPr>
              <w:spacing w:line="240" w:lineRule="auto" w:before="0" w:after="0"/>
              <w:jc w:val="left"/>
            </w:pPr>
            <w:r>
              <w:rPr>
                <w:rFonts w:ascii="Calibri" w:hAnsi="Calibri"/>
                <w:b w:val="0"/>
                <w:color w:val="000000"/>
                <w:sz w:val="22"/>
              </w:rPr>
              <w:t>Monte Azul</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Monte Belo</w:t>
            </w:r>
          </w:p>
        </w:tc>
        <w:tc>
          <w:tcPr>
            <w:tcW w:type="dxa" w:w="2480"/>
            <w:vAlign w:val="center"/>
          </w:tcPr>
          <w:p>
            <w:pPr>
              <w:spacing w:line="240" w:lineRule="auto" w:before="0" w:after="0"/>
              <w:jc w:val="left"/>
            </w:pPr>
            <w:r>
              <w:rPr>
                <w:rFonts w:ascii="Calibri" w:hAnsi="Calibri"/>
                <w:b w:val="0"/>
                <w:color w:val="000000"/>
                <w:sz w:val="22"/>
              </w:rPr>
              <w:t>Monte Carmelo</w:t>
            </w:r>
          </w:p>
        </w:tc>
        <w:tc>
          <w:tcPr>
            <w:tcW w:type="dxa" w:w="2480"/>
            <w:vAlign w:val="center"/>
          </w:tcPr>
          <w:p>
            <w:pPr>
              <w:spacing w:line="240" w:lineRule="auto" w:before="0" w:after="0"/>
              <w:jc w:val="left"/>
            </w:pPr>
            <w:r>
              <w:rPr>
                <w:rFonts w:ascii="Calibri" w:hAnsi="Calibri"/>
                <w:b w:val="0"/>
                <w:color w:val="000000"/>
                <w:sz w:val="22"/>
              </w:rPr>
              <w:t>Monte Santo de Minas</w:t>
            </w:r>
          </w:p>
        </w:tc>
        <w:tc>
          <w:tcPr>
            <w:tcW w:type="dxa" w:w="2480"/>
            <w:vAlign w:val="center"/>
          </w:tcPr>
          <w:p>
            <w:pPr>
              <w:spacing w:line="240" w:lineRule="auto" w:before="0" w:after="0"/>
              <w:jc w:val="left"/>
            </w:pPr>
            <w:r>
              <w:rPr>
                <w:rFonts w:ascii="Calibri" w:hAnsi="Calibri"/>
                <w:b w:val="0"/>
                <w:color w:val="000000"/>
                <w:sz w:val="22"/>
              </w:rPr>
              <w:t>Monte Sião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Montes Claros</w:t>
            </w:r>
          </w:p>
        </w:tc>
        <w:tc>
          <w:tcPr>
            <w:tcW w:type="dxa" w:w="2480"/>
            <w:vAlign w:val="center"/>
            <w:shd w:fill="D9D9D9"/>
          </w:tcPr>
          <w:p>
            <w:pPr>
              <w:spacing w:line="240" w:lineRule="auto" w:before="0" w:after="0"/>
              <w:jc w:val="left"/>
            </w:pPr>
            <w:r>
              <w:rPr>
                <w:rFonts w:ascii="Calibri" w:hAnsi="Calibri"/>
                <w:b w:val="0"/>
                <w:color w:val="000000"/>
                <w:sz w:val="22"/>
              </w:rPr>
              <w:t>Morada Nova de Minas</w:t>
            </w:r>
          </w:p>
        </w:tc>
        <w:tc>
          <w:tcPr>
            <w:tcW w:type="dxa" w:w="2480"/>
            <w:vAlign w:val="center"/>
            <w:shd w:fill="D9D9D9"/>
          </w:tcPr>
          <w:p>
            <w:pPr>
              <w:spacing w:line="240" w:lineRule="auto" w:before="0" w:after="0"/>
              <w:jc w:val="left"/>
            </w:pPr>
            <w:r>
              <w:rPr>
                <w:rFonts w:ascii="Calibri" w:hAnsi="Calibri"/>
                <w:b w:val="0"/>
                <w:color w:val="000000"/>
                <w:sz w:val="22"/>
              </w:rPr>
              <w:t>Muriaé</w:t>
            </w:r>
          </w:p>
        </w:tc>
        <w:tc>
          <w:tcPr>
            <w:tcW w:type="dxa" w:w="2480"/>
            <w:vAlign w:val="center"/>
            <w:shd w:fill="D9D9D9"/>
          </w:tcPr>
          <w:p>
            <w:pPr>
              <w:spacing w:line="240" w:lineRule="auto" w:before="0" w:after="0"/>
              <w:jc w:val="left"/>
            </w:pPr>
            <w:r>
              <w:rPr>
                <w:rFonts w:ascii="Calibri" w:hAnsi="Calibri"/>
                <w:b w:val="0"/>
                <w:color w:val="000000"/>
                <w:sz w:val="22"/>
              </w:rPr>
              <w:t>Mutum</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Muzambinho</w:t>
            </w:r>
          </w:p>
        </w:tc>
        <w:tc>
          <w:tcPr>
            <w:tcW w:type="dxa" w:w="2480"/>
            <w:vAlign w:val="center"/>
          </w:tcPr>
          <w:p>
            <w:pPr>
              <w:spacing w:line="240" w:lineRule="auto" w:before="0" w:after="0"/>
              <w:jc w:val="left"/>
            </w:pPr>
            <w:r>
              <w:rPr>
                <w:rFonts w:ascii="Calibri" w:hAnsi="Calibri"/>
                <w:b w:val="0"/>
                <w:color w:val="000000"/>
                <w:sz w:val="22"/>
              </w:rPr>
              <w:t>Natércia</w:t>
            </w:r>
          </w:p>
        </w:tc>
        <w:tc>
          <w:tcPr>
            <w:tcW w:type="dxa" w:w="2480"/>
            <w:vAlign w:val="center"/>
          </w:tcPr>
          <w:p>
            <w:pPr>
              <w:spacing w:line="240" w:lineRule="auto" w:before="0" w:after="0"/>
              <w:jc w:val="left"/>
            </w:pPr>
            <w:r>
              <w:rPr>
                <w:rFonts w:ascii="Calibri" w:hAnsi="Calibri"/>
                <w:b w:val="0"/>
                <w:color w:val="000000"/>
                <w:sz w:val="22"/>
              </w:rPr>
              <w:t>Nepomuceno</w:t>
            </w:r>
          </w:p>
        </w:tc>
        <w:tc>
          <w:tcPr>
            <w:tcW w:type="dxa" w:w="2480"/>
            <w:vAlign w:val="center"/>
          </w:tcPr>
          <w:p>
            <w:pPr>
              <w:spacing w:line="240" w:lineRule="auto" w:before="0" w:after="0"/>
              <w:jc w:val="left"/>
            </w:pPr>
            <w:r>
              <w:rPr>
                <w:rFonts w:ascii="Calibri" w:hAnsi="Calibri"/>
                <w:b w:val="0"/>
                <w:color w:val="000000"/>
                <w:sz w:val="22"/>
              </w:rPr>
              <w:t>Nova Era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Nova Lima</w:t>
            </w:r>
          </w:p>
        </w:tc>
        <w:tc>
          <w:tcPr>
            <w:tcW w:type="dxa" w:w="2480"/>
            <w:vAlign w:val="center"/>
            <w:shd w:fill="D9D9D9"/>
          </w:tcPr>
          <w:p>
            <w:pPr>
              <w:spacing w:line="240" w:lineRule="auto" w:before="0" w:after="0"/>
              <w:jc w:val="left"/>
            </w:pPr>
            <w:r>
              <w:rPr>
                <w:rFonts w:ascii="Calibri" w:hAnsi="Calibri"/>
                <w:b w:val="0"/>
                <w:color w:val="000000"/>
                <w:sz w:val="22"/>
              </w:rPr>
              <w:t>Nova Ponte</w:t>
            </w:r>
          </w:p>
        </w:tc>
        <w:tc>
          <w:tcPr>
            <w:tcW w:type="dxa" w:w="2480"/>
            <w:vAlign w:val="center"/>
            <w:shd w:fill="D9D9D9"/>
          </w:tcPr>
          <w:p>
            <w:pPr>
              <w:spacing w:line="240" w:lineRule="auto" w:before="0" w:after="0"/>
              <w:jc w:val="left"/>
            </w:pPr>
            <w:r>
              <w:rPr>
                <w:rFonts w:ascii="Calibri" w:hAnsi="Calibri"/>
                <w:b w:val="0"/>
                <w:color w:val="000000"/>
                <w:sz w:val="22"/>
              </w:rPr>
              <w:t>Nova Resende</w:t>
            </w:r>
          </w:p>
        </w:tc>
        <w:tc>
          <w:tcPr>
            <w:tcW w:type="dxa" w:w="2480"/>
            <w:vAlign w:val="center"/>
            <w:shd w:fill="D9D9D9"/>
          </w:tcPr>
          <w:p>
            <w:pPr>
              <w:spacing w:line="240" w:lineRule="auto" w:before="0" w:after="0"/>
              <w:jc w:val="left"/>
            </w:pPr>
            <w:r>
              <w:rPr>
                <w:rFonts w:ascii="Calibri" w:hAnsi="Calibri"/>
                <w:b w:val="0"/>
                <w:color w:val="000000"/>
                <w:sz w:val="22"/>
              </w:rPr>
              <w:t>Nova Serrana</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Novo Cruzeiro</w:t>
            </w:r>
          </w:p>
        </w:tc>
        <w:tc>
          <w:tcPr>
            <w:tcW w:type="dxa" w:w="2480"/>
            <w:vAlign w:val="center"/>
          </w:tcPr>
          <w:p>
            <w:pPr>
              <w:spacing w:line="240" w:lineRule="auto" w:before="0" w:after="0"/>
              <w:jc w:val="left"/>
            </w:pPr>
            <w:r>
              <w:rPr>
                <w:rFonts w:ascii="Calibri" w:hAnsi="Calibri"/>
                <w:b w:val="0"/>
                <w:color w:val="000000"/>
                <w:sz w:val="22"/>
              </w:rPr>
              <w:t>Oliveira</w:t>
            </w:r>
          </w:p>
        </w:tc>
        <w:tc>
          <w:tcPr>
            <w:tcW w:type="dxa" w:w="2480"/>
            <w:vAlign w:val="center"/>
          </w:tcPr>
          <w:p>
            <w:pPr>
              <w:spacing w:line="240" w:lineRule="auto" w:before="0" w:after="0"/>
              <w:jc w:val="left"/>
            </w:pPr>
            <w:r>
              <w:rPr>
                <w:rFonts w:ascii="Calibri" w:hAnsi="Calibri"/>
                <w:b w:val="0"/>
                <w:color w:val="000000"/>
                <w:sz w:val="22"/>
              </w:rPr>
              <w:t>Ouro Branco</w:t>
            </w:r>
          </w:p>
        </w:tc>
        <w:tc>
          <w:tcPr>
            <w:tcW w:type="dxa" w:w="2480"/>
            <w:vAlign w:val="center"/>
          </w:tcPr>
          <w:p>
            <w:pPr>
              <w:spacing w:line="240" w:lineRule="auto" w:before="0" w:after="0"/>
              <w:jc w:val="left"/>
            </w:pPr>
            <w:r>
              <w:rPr>
                <w:rFonts w:ascii="Calibri" w:hAnsi="Calibri"/>
                <w:b w:val="0"/>
                <w:color w:val="000000"/>
                <w:sz w:val="22"/>
              </w:rPr>
              <w:t>Ouro Fino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Ouro Preto</w:t>
            </w:r>
          </w:p>
        </w:tc>
        <w:tc>
          <w:tcPr>
            <w:tcW w:type="dxa" w:w="2480"/>
            <w:vAlign w:val="center"/>
            <w:shd w:fill="D9D9D9"/>
          </w:tcPr>
          <w:p>
            <w:pPr>
              <w:spacing w:line="240" w:lineRule="auto" w:before="0" w:after="0"/>
              <w:jc w:val="left"/>
            </w:pPr>
            <w:r>
              <w:rPr>
                <w:rFonts w:ascii="Calibri" w:hAnsi="Calibri"/>
                <w:b w:val="0"/>
                <w:color w:val="000000"/>
                <w:sz w:val="22"/>
              </w:rPr>
              <w:t>Palma</w:t>
            </w:r>
          </w:p>
        </w:tc>
        <w:tc>
          <w:tcPr>
            <w:tcW w:type="dxa" w:w="2480"/>
            <w:vAlign w:val="center"/>
            <w:shd w:fill="D9D9D9"/>
          </w:tcPr>
          <w:p>
            <w:pPr>
              <w:spacing w:line="240" w:lineRule="auto" w:before="0" w:after="0"/>
              <w:jc w:val="left"/>
            </w:pPr>
            <w:r>
              <w:rPr>
                <w:rFonts w:ascii="Calibri" w:hAnsi="Calibri"/>
                <w:b w:val="0"/>
                <w:color w:val="000000"/>
                <w:sz w:val="22"/>
              </w:rPr>
              <w:t>Pará de Minas</w:t>
            </w:r>
          </w:p>
        </w:tc>
        <w:tc>
          <w:tcPr>
            <w:tcW w:type="dxa" w:w="2480"/>
            <w:vAlign w:val="center"/>
            <w:shd w:fill="D9D9D9"/>
          </w:tcPr>
          <w:p>
            <w:pPr>
              <w:spacing w:line="240" w:lineRule="auto" w:before="0" w:after="0"/>
              <w:jc w:val="left"/>
            </w:pPr>
            <w:r>
              <w:rPr>
                <w:rFonts w:ascii="Calibri" w:hAnsi="Calibri"/>
                <w:b w:val="0"/>
                <w:color w:val="000000"/>
                <w:sz w:val="22"/>
              </w:rPr>
              <w:t>Paracatu</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Paraguaçu</w:t>
            </w:r>
          </w:p>
        </w:tc>
        <w:tc>
          <w:tcPr>
            <w:tcW w:type="dxa" w:w="2480"/>
            <w:vAlign w:val="center"/>
          </w:tcPr>
          <w:p>
            <w:pPr>
              <w:spacing w:line="240" w:lineRule="auto" w:before="0" w:after="0"/>
              <w:jc w:val="left"/>
            </w:pPr>
            <w:r>
              <w:rPr>
                <w:rFonts w:ascii="Calibri" w:hAnsi="Calibri"/>
                <w:b w:val="0"/>
                <w:color w:val="000000"/>
                <w:sz w:val="22"/>
              </w:rPr>
              <w:t>Paraisópolis</w:t>
            </w:r>
          </w:p>
        </w:tc>
        <w:tc>
          <w:tcPr>
            <w:tcW w:type="dxa" w:w="2480"/>
            <w:vAlign w:val="center"/>
          </w:tcPr>
          <w:p>
            <w:pPr>
              <w:spacing w:line="240" w:lineRule="auto" w:before="0" w:after="0"/>
              <w:jc w:val="left"/>
            </w:pPr>
            <w:r>
              <w:rPr>
                <w:rFonts w:ascii="Calibri" w:hAnsi="Calibri"/>
                <w:b w:val="0"/>
                <w:color w:val="000000"/>
                <w:sz w:val="22"/>
              </w:rPr>
              <w:t xml:space="preserve">Paraopeba </w:t>
            </w:r>
          </w:p>
        </w:tc>
        <w:tc>
          <w:tcPr>
            <w:tcW w:type="dxa" w:w="2480"/>
            <w:vAlign w:val="center"/>
          </w:tcPr>
          <w:p>
            <w:pPr>
              <w:spacing w:line="240" w:lineRule="auto" w:before="0" w:after="0"/>
              <w:jc w:val="left"/>
            </w:pPr>
            <w:r>
              <w:rPr>
                <w:rFonts w:ascii="Calibri" w:hAnsi="Calibri"/>
                <w:b w:val="0"/>
                <w:color w:val="000000"/>
                <w:sz w:val="22"/>
              </w:rPr>
              <w:t>Passa Quatro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Passa Tempo</w:t>
            </w:r>
          </w:p>
        </w:tc>
        <w:tc>
          <w:tcPr>
            <w:tcW w:type="dxa" w:w="2480"/>
            <w:vAlign w:val="center"/>
            <w:shd w:fill="D9D9D9"/>
          </w:tcPr>
          <w:p>
            <w:pPr>
              <w:spacing w:line="240" w:lineRule="auto" w:before="0" w:after="0"/>
              <w:jc w:val="left"/>
            </w:pPr>
            <w:r>
              <w:rPr>
                <w:rFonts w:ascii="Calibri" w:hAnsi="Calibri"/>
                <w:b w:val="0"/>
                <w:color w:val="000000"/>
                <w:sz w:val="22"/>
              </w:rPr>
              <w:t>Passos</w:t>
            </w:r>
          </w:p>
        </w:tc>
        <w:tc>
          <w:tcPr>
            <w:tcW w:type="dxa" w:w="2480"/>
            <w:vAlign w:val="center"/>
            <w:shd w:fill="D9D9D9"/>
          </w:tcPr>
          <w:p>
            <w:pPr>
              <w:spacing w:line="240" w:lineRule="auto" w:before="0" w:after="0"/>
              <w:jc w:val="left"/>
            </w:pPr>
            <w:r>
              <w:rPr>
                <w:rFonts w:ascii="Calibri" w:hAnsi="Calibri"/>
                <w:b w:val="0"/>
                <w:color w:val="000000"/>
                <w:sz w:val="22"/>
              </w:rPr>
              <w:t>Patos de Minas</w:t>
            </w:r>
          </w:p>
        </w:tc>
        <w:tc>
          <w:tcPr>
            <w:tcW w:type="dxa" w:w="2480"/>
            <w:vAlign w:val="center"/>
            <w:shd w:fill="D9D9D9"/>
          </w:tcPr>
          <w:p>
            <w:pPr>
              <w:spacing w:line="240" w:lineRule="auto" w:before="0" w:after="0"/>
              <w:jc w:val="left"/>
            </w:pPr>
            <w:r>
              <w:rPr>
                <w:rFonts w:ascii="Calibri" w:hAnsi="Calibri"/>
                <w:b w:val="0"/>
                <w:color w:val="000000"/>
                <w:sz w:val="22"/>
              </w:rPr>
              <w:t>Patrocínio</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Peçanha</w:t>
            </w:r>
          </w:p>
        </w:tc>
        <w:tc>
          <w:tcPr>
            <w:tcW w:type="dxa" w:w="2480"/>
            <w:vAlign w:val="center"/>
          </w:tcPr>
          <w:p>
            <w:pPr>
              <w:spacing w:line="240" w:lineRule="auto" w:before="0" w:after="0"/>
              <w:jc w:val="left"/>
            </w:pPr>
            <w:r>
              <w:rPr>
                <w:rFonts w:ascii="Calibri" w:hAnsi="Calibri"/>
                <w:b w:val="0"/>
                <w:color w:val="000000"/>
                <w:sz w:val="22"/>
              </w:rPr>
              <w:t>Pedra Azul</w:t>
            </w:r>
          </w:p>
        </w:tc>
        <w:tc>
          <w:tcPr>
            <w:tcW w:type="dxa" w:w="2480"/>
            <w:vAlign w:val="center"/>
          </w:tcPr>
          <w:p>
            <w:pPr>
              <w:spacing w:line="240" w:lineRule="auto" w:before="0" w:after="0"/>
              <w:jc w:val="left"/>
            </w:pPr>
            <w:r>
              <w:rPr>
                <w:rFonts w:ascii="Calibri" w:hAnsi="Calibri"/>
                <w:b w:val="0"/>
                <w:color w:val="000000"/>
                <w:sz w:val="22"/>
              </w:rPr>
              <w:t>Pedralva</w:t>
            </w:r>
          </w:p>
        </w:tc>
        <w:tc>
          <w:tcPr>
            <w:tcW w:type="dxa" w:w="2480"/>
            <w:vAlign w:val="center"/>
          </w:tcPr>
          <w:p>
            <w:pPr>
              <w:spacing w:line="240" w:lineRule="auto" w:before="0" w:after="0"/>
              <w:jc w:val="left"/>
            </w:pPr>
            <w:r>
              <w:rPr>
                <w:rFonts w:ascii="Calibri" w:hAnsi="Calibri"/>
                <w:b w:val="0"/>
                <w:color w:val="000000"/>
                <w:sz w:val="22"/>
              </w:rPr>
              <w:t>Pedro Leopoldo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Perdizes</w:t>
            </w:r>
          </w:p>
        </w:tc>
        <w:tc>
          <w:tcPr>
            <w:tcW w:type="dxa" w:w="2480"/>
            <w:vAlign w:val="center"/>
            <w:shd w:fill="D9D9D9"/>
          </w:tcPr>
          <w:p>
            <w:pPr>
              <w:spacing w:line="240" w:lineRule="auto" w:before="0" w:after="0"/>
              <w:jc w:val="left"/>
            </w:pPr>
            <w:r>
              <w:rPr>
                <w:rFonts w:ascii="Calibri" w:hAnsi="Calibri"/>
                <w:b w:val="0"/>
                <w:color w:val="000000"/>
                <w:sz w:val="22"/>
              </w:rPr>
              <w:t>Perdões</w:t>
            </w:r>
          </w:p>
        </w:tc>
        <w:tc>
          <w:tcPr>
            <w:tcW w:type="dxa" w:w="2480"/>
            <w:vAlign w:val="center"/>
            <w:shd w:fill="D9D9D9"/>
          </w:tcPr>
          <w:p>
            <w:pPr>
              <w:spacing w:line="240" w:lineRule="auto" w:before="0" w:after="0"/>
              <w:jc w:val="left"/>
            </w:pPr>
            <w:r>
              <w:rPr>
                <w:rFonts w:ascii="Calibri" w:hAnsi="Calibri"/>
                <w:b w:val="0"/>
                <w:color w:val="000000"/>
                <w:sz w:val="22"/>
              </w:rPr>
              <w:t>Piranga</w:t>
            </w:r>
          </w:p>
        </w:tc>
        <w:tc>
          <w:tcPr>
            <w:tcW w:type="dxa" w:w="2480"/>
            <w:vAlign w:val="center"/>
            <w:shd w:fill="D9D9D9"/>
          </w:tcPr>
          <w:p>
            <w:pPr>
              <w:spacing w:line="240" w:lineRule="auto" w:before="0" w:after="0"/>
              <w:jc w:val="left"/>
            </w:pPr>
            <w:r>
              <w:rPr>
                <w:rFonts w:ascii="Calibri" w:hAnsi="Calibri"/>
                <w:b w:val="0"/>
                <w:color w:val="000000"/>
                <w:sz w:val="22"/>
              </w:rPr>
              <w:t>Pirapetinga</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Pirapora</w:t>
            </w:r>
          </w:p>
        </w:tc>
        <w:tc>
          <w:tcPr>
            <w:tcW w:type="dxa" w:w="2480"/>
            <w:vAlign w:val="center"/>
          </w:tcPr>
          <w:p>
            <w:pPr>
              <w:spacing w:line="240" w:lineRule="auto" w:before="0" w:after="0"/>
              <w:jc w:val="left"/>
            </w:pPr>
            <w:r>
              <w:rPr>
                <w:rFonts w:ascii="Calibri" w:hAnsi="Calibri"/>
                <w:b w:val="0"/>
                <w:color w:val="000000"/>
                <w:sz w:val="22"/>
              </w:rPr>
              <w:t>Pitangui</w:t>
            </w:r>
          </w:p>
        </w:tc>
        <w:tc>
          <w:tcPr>
            <w:tcW w:type="dxa" w:w="2480"/>
            <w:vAlign w:val="center"/>
          </w:tcPr>
          <w:p>
            <w:pPr>
              <w:spacing w:line="240" w:lineRule="auto" w:before="0" w:after="0"/>
              <w:jc w:val="left"/>
            </w:pPr>
            <w:r>
              <w:rPr>
                <w:rFonts w:ascii="Calibri" w:hAnsi="Calibri"/>
                <w:b w:val="0"/>
                <w:color w:val="000000"/>
                <w:sz w:val="22"/>
              </w:rPr>
              <w:t>Piumhi</w:t>
            </w:r>
          </w:p>
        </w:tc>
        <w:tc>
          <w:tcPr>
            <w:tcW w:type="dxa" w:w="2480"/>
            <w:vAlign w:val="center"/>
          </w:tcPr>
          <w:p>
            <w:pPr>
              <w:spacing w:line="240" w:lineRule="auto" w:before="0" w:after="0"/>
              <w:jc w:val="left"/>
            </w:pPr>
            <w:r>
              <w:rPr>
                <w:rFonts w:ascii="Calibri" w:hAnsi="Calibri"/>
                <w:b w:val="0"/>
                <w:color w:val="000000"/>
                <w:sz w:val="22"/>
              </w:rPr>
              <w:t>Poço Fundo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Poços de Caldas</w:t>
            </w:r>
          </w:p>
        </w:tc>
        <w:tc>
          <w:tcPr>
            <w:tcW w:type="dxa" w:w="2480"/>
            <w:vAlign w:val="center"/>
            <w:shd w:fill="D9D9D9"/>
          </w:tcPr>
          <w:p>
            <w:pPr>
              <w:spacing w:line="240" w:lineRule="auto" w:before="0" w:after="0"/>
              <w:jc w:val="left"/>
            </w:pPr>
            <w:r>
              <w:rPr>
                <w:rFonts w:ascii="Calibri" w:hAnsi="Calibri"/>
                <w:b w:val="0"/>
                <w:color w:val="000000"/>
                <w:sz w:val="22"/>
              </w:rPr>
              <w:t>Pompéu</w:t>
            </w:r>
          </w:p>
        </w:tc>
        <w:tc>
          <w:tcPr>
            <w:tcW w:type="dxa" w:w="2480"/>
            <w:vAlign w:val="center"/>
            <w:shd w:fill="D9D9D9"/>
          </w:tcPr>
          <w:p>
            <w:pPr>
              <w:spacing w:line="240" w:lineRule="auto" w:before="0" w:after="0"/>
              <w:jc w:val="left"/>
            </w:pPr>
            <w:r>
              <w:rPr>
                <w:rFonts w:ascii="Calibri" w:hAnsi="Calibri"/>
                <w:b w:val="0"/>
                <w:color w:val="000000"/>
                <w:sz w:val="22"/>
              </w:rPr>
              <w:t>Ponte Nova</w:t>
            </w:r>
          </w:p>
        </w:tc>
        <w:tc>
          <w:tcPr>
            <w:tcW w:type="dxa" w:w="2480"/>
            <w:vAlign w:val="center"/>
            <w:shd w:fill="D9D9D9"/>
          </w:tcPr>
          <w:p>
            <w:pPr>
              <w:spacing w:line="240" w:lineRule="auto" w:before="0" w:after="0"/>
              <w:jc w:val="left"/>
            </w:pPr>
            <w:r>
              <w:rPr>
                <w:rFonts w:ascii="Calibri" w:hAnsi="Calibri"/>
                <w:b w:val="0"/>
                <w:color w:val="000000"/>
                <w:sz w:val="22"/>
              </w:rPr>
              <w:t>Porteirinha</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Pouso Alegre</w:t>
            </w:r>
          </w:p>
        </w:tc>
        <w:tc>
          <w:tcPr>
            <w:tcW w:type="dxa" w:w="2480"/>
            <w:vAlign w:val="center"/>
          </w:tcPr>
          <w:p>
            <w:pPr>
              <w:spacing w:line="240" w:lineRule="auto" w:before="0" w:after="0"/>
              <w:jc w:val="left"/>
            </w:pPr>
            <w:r>
              <w:rPr>
                <w:rFonts w:ascii="Calibri" w:hAnsi="Calibri"/>
                <w:b w:val="0"/>
                <w:color w:val="000000"/>
                <w:sz w:val="22"/>
              </w:rPr>
              <w:t>Prados</w:t>
            </w:r>
          </w:p>
        </w:tc>
        <w:tc>
          <w:tcPr>
            <w:tcW w:type="dxa" w:w="2480"/>
            <w:vAlign w:val="center"/>
          </w:tcPr>
          <w:p>
            <w:pPr>
              <w:spacing w:line="240" w:lineRule="auto" w:before="0" w:after="0"/>
              <w:jc w:val="left"/>
            </w:pPr>
            <w:r>
              <w:rPr>
                <w:rFonts w:ascii="Calibri" w:hAnsi="Calibri"/>
                <w:b w:val="0"/>
                <w:color w:val="000000"/>
                <w:sz w:val="22"/>
              </w:rPr>
              <w:t>Prata</w:t>
            </w:r>
          </w:p>
        </w:tc>
        <w:tc>
          <w:tcPr>
            <w:tcW w:type="dxa" w:w="2480"/>
            <w:vAlign w:val="center"/>
          </w:tcPr>
          <w:p>
            <w:pPr>
              <w:spacing w:line="240" w:lineRule="auto" w:before="0" w:after="0"/>
              <w:jc w:val="left"/>
            </w:pPr>
            <w:r>
              <w:rPr>
                <w:rFonts w:ascii="Calibri" w:hAnsi="Calibri"/>
                <w:b w:val="0"/>
                <w:color w:val="000000"/>
                <w:sz w:val="22"/>
              </w:rPr>
              <w:t>Pratápolis</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Presidente Olegário</w:t>
            </w:r>
          </w:p>
        </w:tc>
        <w:tc>
          <w:tcPr>
            <w:tcW w:type="dxa" w:w="2480"/>
            <w:vAlign w:val="center"/>
            <w:shd w:fill="D9D9D9"/>
          </w:tcPr>
          <w:p>
            <w:pPr>
              <w:spacing w:line="240" w:lineRule="auto" w:before="0" w:after="0"/>
              <w:jc w:val="left"/>
            </w:pPr>
            <w:r>
              <w:rPr>
                <w:rFonts w:ascii="Calibri" w:hAnsi="Calibri"/>
                <w:b w:val="0"/>
                <w:color w:val="000000"/>
                <w:sz w:val="22"/>
              </w:rPr>
              <w:t>Raul Soares</w:t>
            </w:r>
          </w:p>
        </w:tc>
        <w:tc>
          <w:tcPr>
            <w:tcW w:type="dxa" w:w="2480"/>
            <w:vAlign w:val="center"/>
            <w:shd w:fill="D9D9D9"/>
          </w:tcPr>
          <w:p>
            <w:pPr>
              <w:spacing w:line="240" w:lineRule="auto" w:before="0" w:after="0"/>
              <w:jc w:val="left"/>
            </w:pPr>
            <w:r>
              <w:rPr>
                <w:rFonts w:ascii="Calibri" w:hAnsi="Calibri"/>
                <w:b w:val="0"/>
                <w:color w:val="000000"/>
                <w:sz w:val="22"/>
              </w:rPr>
              <w:t>Resende Costa</w:t>
            </w:r>
          </w:p>
        </w:tc>
        <w:tc>
          <w:tcPr>
            <w:tcW w:type="dxa" w:w="2480"/>
            <w:vAlign w:val="center"/>
            <w:shd w:fill="D9D9D9"/>
          </w:tcPr>
          <w:p>
            <w:pPr>
              <w:spacing w:line="240" w:lineRule="auto" w:before="0" w:after="0"/>
              <w:jc w:val="left"/>
            </w:pPr>
            <w:r>
              <w:rPr>
                <w:rFonts w:ascii="Calibri" w:hAnsi="Calibri"/>
                <w:b w:val="0"/>
                <w:color w:val="000000"/>
                <w:sz w:val="22"/>
              </w:rPr>
              <w:t>Resplendor</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Ribeirão das Neves</w:t>
            </w:r>
          </w:p>
        </w:tc>
        <w:tc>
          <w:tcPr>
            <w:tcW w:type="dxa" w:w="2480"/>
            <w:vAlign w:val="center"/>
          </w:tcPr>
          <w:p>
            <w:pPr>
              <w:spacing w:line="240" w:lineRule="auto" w:before="0" w:after="0"/>
              <w:jc w:val="left"/>
            </w:pPr>
            <w:r>
              <w:rPr>
                <w:rFonts w:ascii="Calibri" w:hAnsi="Calibri"/>
                <w:b w:val="0"/>
                <w:color w:val="000000"/>
                <w:sz w:val="22"/>
              </w:rPr>
              <w:t>Rio Casca</w:t>
            </w:r>
          </w:p>
        </w:tc>
        <w:tc>
          <w:tcPr>
            <w:tcW w:type="dxa" w:w="2480"/>
            <w:vAlign w:val="center"/>
          </w:tcPr>
          <w:p>
            <w:pPr>
              <w:spacing w:line="240" w:lineRule="auto" w:before="0" w:after="0"/>
              <w:jc w:val="left"/>
            </w:pPr>
            <w:r>
              <w:rPr>
                <w:rFonts w:ascii="Calibri" w:hAnsi="Calibri"/>
                <w:b w:val="0"/>
                <w:color w:val="000000"/>
                <w:sz w:val="22"/>
              </w:rPr>
              <w:t>Rio Novo</w:t>
            </w:r>
          </w:p>
        </w:tc>
        <w:tc>
          <w:tcPr>
            <w:tcW w:type="dxa" w:w="2480"/>
            <w:vAlign w:val="center"/>
          </w:tcPr>
          <w:p>
            <w:pPr>
              <w:spacing w:line="240" w:lineRule="auto" w:before="0" w:after="0"/>
              <w:jc w:val="left"/>
            </w:pPr>
            <w:r>
              <w:rPr>
                <w:rFonts w:ascii="Calibri" w:hAnsi="Calibri"/>
                <w:b w:val="0"/>
                <w:color w:val="000000"/>
                <w:sz w:val="22"/>
              </w:rPr>
              <w:t>Rio Paranaíba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Rio Pardo de Minas</w:t>
            </w:r>
          </w:p>
        </w:tc>
        <w:tc>
          <w:tcPr>
            <w:tcW w:type="dxa" w:w="2480"/>
            <w:vAlign w:val="center"/>
            <w:shd w:fill="D9D9D9"/>
          </w:tcPr>
          <w:p>
            <w:pPr>
              <w:spacing w:line="240" w:lineRule="auto" w:before="0" w:after="0"/>
              <w:jc w:val="left"/>
            </w:pPr>
            <w:r>
              <w:rPr>
                <w:rFonts w:ascii="Calibri" w:hAnsi="Calibri"/>
                <w:b w:val="0"/>
                <w:color w:val="000000"/>
                <w:sz w:val="22"/>
              </w:rPr>
              <w:t>Rio Piracicaba</w:t>
            </w:r>
          </w:p>
        </w:tc>
        <w:tc>
          <w:tcPr>
            <w:tcW w:type="dxa" w:w="2480"/>
            <w:vAlign w:val="center"/>
            <w:shd w:fill="D9D9D9"/>
          </w:tcPr>
          <w:p>
            <w:pPr>
              <w:spacing w:line="240" w:lineRule="auto" w:before="0" w:after="0"/>
              <w:jc w:val="left"/>
            </w:pPr>
            <w:r>
              <w:rPr>
                <w:rFonts w:ascii="Calibri" w:hAnsi="Calibri"/>
                <w:b w:val="0"/>
                <w:color w:val="000000"/>
                <w:sz w:val="22"/>
              </w:rPr>
              <w:t>Rio Pomba</w:t>
            </w:r>
          </w:p>
        </w:tc>
        <w:tc>
          <w:tcPr>
            <w:tcW w:type="dxa" w:w="2480"/>
            <w:vAlign w:val="center"/>
            <w:shd w:fill="D9D9D9"/>
          </w:tcPr>
          <w:p>
            <w:pPr>
              <w:spacing w:line="240" w:lineRule="auto" w:before="0" w:after="0"/>
              <w:jc w:val="left"/>
            </w:pPr>
            <w:r>
              <w:rPr>
                <w:rFonts w:ascii="Calibri" w:hAnsi="Calibri"/>
                <w:b w:val="0"/>
                <w:color w:val="000000"/>
                <w:sz w:val="22"/>
              </w:rPr>
              <w:t>Rio Preto</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Rio Vermelho</w:t>
            </w:r>
          </w:p>
        </w:tc>
        <w:tc>
          <w:tcPr>
            <w:tcW w:type="dxa" w:w="2480"/>
            <w:vAlign w:val="center"/>
          </w:tcPr>
          <w:p>
            <w:pPr>
              <w:spacing w:line="240" w:lineRule="auto" w:before="0" w:after="0"/>
              <w:jc w:val="left"/>
            </w:pPr>
            <w:r>
              <w:rPr>
                <w:rFonts w:ascii="Calibri" w:hAnsi="Calibri"/>
                <w:b w:val="0"/>
                <w:color w:val="000000"/>
                <w:sz w:val="22"/>
              </w:rPr>
              <w:t>Sabará</w:t>
            </w:r>
          </w:p>
        </w:tc>
        <w:tc>
          <w:tcPr>
            <w:tcW w:type="dxa" w:w="2480"/>
            <w:vAlign w:val="center"/>
          </w:tcPr>
          <w:p>
            <w:pPr>
              <w:spacing w:line="240" w:lineRule="auto" w:before="0" w:after="0"/>
              <w:jc w:val="left"/>
            </w:pPr>
            <w:r>
              <w:rPr>
                <w:rFonts w:ascii="Calibri" w:hAnsi="Calibri"/>
                <w:b w:val="0"/>
                <w:color w:val="000000"/>
                <w:sz w:val="22"/>
              </w:rPr>
              <w:t>Sabinópolis</w:t>
            </w:r>
          </w:p>
        </w:tc>
        <w:tc>
          <w:tcPr>
            <w:tcW w:type="dxa" w:w="2480"/>
            <w:vAlign w:val="center"/>
          </w:tcPr>
          <w:p>
            <w:pPr>
              <w:spacing w:line="240" w:lineRule="auto" w:before="0" w:after="0"/>
              <w:jc w:val="left"/>
            </w:pPr>
            <w:r>
              <w:rPr>
                <w:rFonts w:ascii="Calibri" w:hAnsi="Calibri"/>
                <w:b w:val="0"/>
                <w:color w:val="000000"/>
                <w:sz w:val="22"/>
              </w:rPr>
              <w:t>Sacramento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Salinas</w:t>
            </w:r>
          </w:p>
        </w:tc>
        <w:tc>
          <w:tcPr>
            <w:tcW w:type="dxa" w:w="2480"/>
            <w:vAlign w:val="center"/>
            <w:shd w:fill="D9D9D9"/>
          </w:tcPr>
          <w:p>
            <w:pPr>
              <w:spacing w:line="240" w:lineRule="auto" w:before="0" w:after="0"/>
              <w:jc w:val="left"/>
            </w:pPr>
            <w:r>
              <w:rPr>
                <w:rFonts w:ascii="Calibri" w:hAnsi="Calibri"/>
                <w:b w:val="0"/>
                <w:color w:val="000000"/>
                <w:sz w:val="22"/>
              </w:rPr>
              <w:t>Santa Bárbara</w:t>
            </w:r>
          </w:p>
        </w:tc>
        <w:tc>
          <w:tcPr>
            <w:tcW w:type="dxa" w:w="2480"/>
            <w:vAlign w:val="center"/>
            <w:shd w:fill="D9D9D9"/>
          </w:tcPr>
          <w:p>
            <w:pPr>
              <w:spacing w:line="240" w:lineRule="auto" w:before="0" w:after="0"/>
              <w:jc w:val="left"/>
            </w:pPr>
            <w:r>
              <w:rPr>
                <w:rFonts w:ascii="Calibri" w:hAnsi="Calibri"/>
                <w:b w:val="0"/>
                <w:color w:val="000000"/>
                <w:sz w:val="22"/>
              </w:rPr>
              <w:t>Santa Luzia</w:t>
            </w:r>
          </w:p>
        </w:tc>
        <w:tc>
          <w:tcPr>
            <w:tcW w:type="dxa" w:w="2480"/>
            <w:vAlign w:val="center"/>
            <w:shd w:fill="D9D9D9"/>
          </w:tcPr>
          <w:p>
            <w:pPr>
              <w:spacing w:line="240" w:lineRule="auto" w:before="0" w:after="0"/>
              <w:jc w:val="left"/>
            </w:pPr>
            <w:r>
              <w:rPr>
                <w:rFonts w:ascii="Calibri" w:hAnsi="Calibri"/>
                <w:b w:val="0"/>
                <w:color w:val="000000"/>
                <w:sz w:val="22"/>
              </w:rPr>
              <w:t>Santa Maria do Suaçuí</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Santa Rita de Caldas</w:t>
            </w:r>
          </w:p>
        </w:tc>
        <w:tc>
          <w:tcPr>
            <w:tcW w:type="dxa" w:w="2480"/>
            <w:vAlign w:val="center"/>
          </w:tcPr>
          <w:p>
            <w:pPr>
              <w:spacing w:line="240" w:lineRule="auto" w:before="0" w:after="0"/>
              <w:jc w:val="left"/>
            </w:pPr>
            <w:r>
              <w:rPr>
                <w:rFonts w:ascii="Calibri" w:hAnsi="Calibri"/>
                <w:b w:val="0"/>
                <w:color w:val="000000"/>
                <w:sz w:val="22"/>
              </w:rPr>
              <w:t>Santa Rita do Sapucaí</w:t>
            </w:r>
          </w:p>
        </w:tc>
        <w:tc>
          <w:tcPr>
            <w:tcW w:type="dxa" w:w="2480"/>
            <w:vAlign w:val="center"/>
          </w:tcPr>
          <w:p>
            <w:pPr>
              <w:spacing w:line="240" w:lineRule="auto" w:before="0" w:after="0"/>
              <w:jc w:val="left"/>
            </w:pPr>
            <w:r>
              <w:rPr>
                <w:rFonts w:ascii="Calibri" w:hAnsi="Calibri"/>
                <w:b w:val="0"/>
                <w:color w:val="000000"/>
                <w:sz w:val="22"/>
              </w:rPr>
              <w:t>Santa Vitória</w:t>
            </w:r>
          </w:p>
        </w:tc>
        <w:tc>
          <w:tcPr>
            <w:tcW w:type="dxa" w:w="2480"/>
            <w:vAlign w:val="center"/>
          </w:tcPr>
          <w:p>
            <w:pPr>
              <w:spacing w:line="240" w:lineRule="auto" w:before="0" w:after="0"/>
              <w:jc w:val="left"/>
            </w:pPr>
            <w:r>
              <w:rPr>
                <w:rFonts w:ascii="Calibri" w:hAnsi="Calibri"/>
                <w:b w:val="0"/>
                <w:color w:val="000000"/>
                <w:sz w:val="22"/>
              </w:rPr>
              <w:t>Santo Antônio do Monte</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Santos Dumont</w:t>
            </w:r>
          </w:p>
        </w:tc>
        <w:tc>
          <w:tcPr>
            <w:tcW w:type="dxa" w:w="2480"/>
            <w:vAlign w:val="center"/>
            <w:shd w:fill="D9D9D9"/>
          </w:tcPr>
          <w:p>
            <w:pPr>
              <w:spacing w:line="240" w:lineRule="auto" w:before="0" w:after="0"/>
              <w:jc w:val="left"/>
            </w:pPr>
            <w:r>
              <w:rPr>
                <w:rFonts w:ascii="Calibri" w:hAnsi="Calibri"/>
                <w:b w:val="0"/>
                <w:color w:val="000000"/>
                <w:sz w:val="22"/>
              </w:rPr>
              <w:t>São Domingos do Prata</w:t>
            </w:r>
          </w:p>
        </w:tc>
        <w:tc>
          <w:tcPr>
            <w:tcW w:type="dxa" w:w="2480"/>
            <w:vAlign w:val="center"/>
            <w:shd w:fill="D9D9D9"/>
          </w:tcPr>
          <w:p>
            <w:pPr>
              <w:spacing w:line="240" w:lineRule="auto" w:before="0" w:after="0"/>
              <w:jc w:val="left"/>
            </w:pPr>
            <w:r>
              <w:rPr>
                <w:rFonts w:ascii="Calibri" w:hAnsi="Calibri"/>
                <w:b w:val="0"/>
                <w:color w:val="000000"/>
                <w:sz w:val="22"/>
              </w:rPr>
              <w:t>São Francisco</w:t>
            </w:r>
          </w:p>
        </w:tc>
        <w:tc>
          <w:tcPr>
            <w:tcW w:type="dxa" w:w="2480"/>
            <w:vAlign w:val="center"/>
            <w:shd w:fill="D9D9D9"/>
          </w:tcPr>
          <w:p>
            <w:pPr>
              <w:spacing w:line="240" w:lineRule="auto" w:before="0" w:after="0"/>
              <w:jc w:val="left"/>
            </w:pPr>
            <w:r>
              <w:rPr>
                <w:rFonts w:ascii="Calibri" w:hAnsi="Calibri"/>
                <w:b w:val="0"/>
                <w:color w:val="000000"/>
                <w:sz w:val="22"/>
              </w:rPr>
              <w:t>São Gonçalo do Sapucaí</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São Gotardo</w:t>
            </w:r>
          </w:p>
        </w:tc>
        <w:tc>
          <w:tcPr>
            <w:tcW w:type="dxa" w:w="2480"/>
            <w:vAlign w:val="center"/>
          </w:tcPr>
          <w:p>
            <w:pPr>
              <w:spacing w:line="240" w:lineRule="auto" w:before="0" w:after="0"/>
              <w:jc w:val="left"/>
            </w:pPr>
            <w:r>
              <w:rPr>
                <w:rFonts w:ascii="Calibri" w:hAnsi="Calibri"/>
                <w:b w:val="0"/>
                <w:color w:val="000000"/>
                <w:sz w:val="22"/>
              </w:rPr>
              <w:t>São João da Ponte</w:t>
            </w:r>
          </w:p>
        </w:tc>
        <w:tc>
          <w:tcPr>
            <w:tcW w:type="dxa" w:w="2480"/>
            <w:vAlign w:val="center"/>
          </w:tcPr>
          <w:p>
            <w:pPr>
              <w:spacing w:line="240" w:lineRule="auto" w:before="0" w:after="0"/>
              <w:jc w:val="left"/>
            </w:pPr>
            <w:r>
              <w:rPr>
                <w:rFonts w:ascii="Calibri" w:hAnsi="Calibri"/>
                <w:b w:val="0"/>
                <w:color w:val="000000"/>
                <w:sz w:val="22"/>
              </w:rPr>
              <w:t>São João Del Rei</w:t>
            </w:r>
          </w:p>
        </w:tc>
        <w:tc>
          <w:tcPr>
            <w:tcW w:type="dxa" w:w="2480"/>
            <w:vAlign w:val="center"/>
          </w:tcPr>
          <w:p>
            <w:pPr>
              <w:spacing w:line="240" w:lineRule="auto" w:before="0" w:after="0"/>
              <w:jc w:val="left"/>
            </w:pPr>
            <w:r>
              <w:rPr>
                <w:rFonts w:ascii="Calibri" w:hAnsi="Calibri"/>
                <w:b w:val="0"/>
                <w:color w:val="000000"/>
                <w:sz w:val="22"/>
              </w:rPr>
              <w:t>São João do Paraíso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São João Evangelista</w:t>
            </w:r>
          </w:p>
        </w:tc>
        <w:tc>
          <w:tcPr>
            <w:tcW w:type="dxa" w:w="2480"/>
            <w:vAlign w:val="center"/>
            <w:shd w:fill="D9D9D9"/>
          </w:tcPr>
          <w:p>
            <w:pPr>
              <w:spacing w:line="240" w:lineRule="auto" w:before="0" w:after="0"/>
              <w:jc w:val="left"/>
            </w:pPr>
            <w:r>
              <w:rPr>
                <w:rFonts w:ascii="Calibri" w:hAnsi="Calibri"/>
                <w:b w:val="0"/>
                <w:color w:val="000000"/>
                <w:sz w:val="22"/>
              </w:rPr>
              <w:t>São João Nepomuceno</w:t>
            </w:r>
          </w:p>
        </w:tc>
        <w:tc>
          <w:tcPr>
            <w:tcW w:type="dxa" w:w="2480"/>
            <w:vAlign w:val="center"/>
            <w:shd w:fill="D9D9D9"/>
          </w:tcPr>
          <w:p>
            <w:pPr>
              <w:spacing w:line="240" w:lineRule="auto" w:before="0" w:after="0"/>
              <w:jc w:val="left"/>
            </w:pPr>
            <w:r>
              <w:rPr>
                <w:rFonts w:ascii="Calibri" w:hAnsi="Calibri"/>
                <w:b w:val="0"/>
                <w:color w:val="000000"/>
                <w:sz w:val="22"/>
              </w:rPr>
              <w:t>São Lourenço</w:t>
            </w:r>
          </w:p>
        </w:tc>
        <w:tc>
          <w:tcPr>
            <w:tcW w:type="dxa" w:w="2480"/>
            <w:vAlign w:val="center"/>
            <w:shd w:fill="D9D9D9"/>
          </w:tcPr>
          <w:p>
            <w:pPr>
              <w:spacing w:line="240" w:lineRule="auto" w:before="0" w:after="0"/>
              <w:jc w:val="left"/>
            </w:pPr>
            <w:r>
              <w:rPr>
                <w:rFonts w:ascii="Calibri" w:hAnsi="Calibri"/>
                <w:b w:val="0"/>
                <w:color w:val="000000"/>
                <w:sz w:val="22"/>
              </w:rPr>
              <w:t>São Romão</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São Roque de Minas</w:t>
            </w:r>
          </w:p>
        </w:tc>
        <w:tc>
          <w:tcPr>
            <w:tcW w:type="dxa" w:w="2480"/>
            <w:vAlign w:val="center"/>
          </w:tcPr>
          <w:p>
            <w:pPr>
              <w:spacing w:line="240" w:lineRule="auto" w:before="0" w:after="0"/>
              <w:jc w:val="left"/>
            </w:pPr>
            <w:r>
              <w:rPr>
                <w:rFonts w:ascii="Calibri" w:hAnsi="Calibri"/>
                <w:b w:val="0"/>
                <w:color w:val="000000"/>
                <w:sz w:val="22"/>
              </w:rPr>
              <w:t>São Sebastião do Paraíso</w:t>
            </w:r>
          </w:p>
        </w:tc>
        <w:tc>
          <w:tcPr>
            <w:tcW w:type="dxa" w:w="2480"/>
            <w:vAlign w:val="center"/>
          </w:tcPr>
          <w:p>
            <w:pPr>
              <w:spacing w:line="240" w:lineRule="auto" w:before="0" w:after="0"/>
              <w:jc w:val="left"/>
            </w:pPr>
            <w:r>
              <w:rPr>
                <w:rFonts w:ascii="Calibri" w:hAnsi="Calibri"/>
                <w:b w:val="0"/>
                <w:color w:val="000000"/>
                <w:sz w:val="22"/>
              </w:rPr>
              <w:t>Senador Firmino</w:t>
            </w:r>
          </w:p>
        </w:tc>
        <w:tc>
          <w:tcPr>
            <w:tcW w:type="dxa" w:w="2480"/>
            <w:vAlign w:val="center"/>
          </w:tcPr>
          <w:p>
            <w:pPr>
              <w:spacing w:line="240" w:lineRule="auto" w:before="0" w:after="0"/>
              <w:jc w:val="left"/>
            </w:pPr>
            <w:r>
              <w:rPr>
                <w:rFonts w:ascii="Calibri" w:hAnsi="Calibri"/>
                <w:b w:val="0"/>
                <w:color w:val="000000"/>
                <w:sz w:val="22"/>
              </w:rPr>
              <w:t>Serro</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Sete Lagoas</w:t>
            </w:r>
          </w:p>
        </w:tc>
        <w:tc>
          <w:tcPr>
            <w:tcW w:type="dxa" w:w="2480"/>
            <w:vAlign w:val="center"/>
            <w:shd w:fill="D9D9D9"/>
          </w:tcPr>
          <w:p>
            <w:pPr>
              <w:spacing w:line="240" w:lineRule="auto" w:before="0" w:after="0"/>
              <w:jc w:val="left"/>
            </w:pPr>
            <w:r>
              <w:rPr>
                <w:rFonts w:ascii="Calibri" w:hAnsi="Calibri"/>
                <w:b w:val="0"/>
                <w:color w:val="000000"/>
                <w:sz w:val="22"/>
              </w:rPr>
              <w:t>Silvianópolis</w:t>
            </w:r>
          </w:p>
        </w:tc>
        <w:tc>
          <w:tcPr>
            <w:tcW w:type="dxa" w:w="2480"/>
            <w:vAlign w:val="center"/>
            <w:shd w:fill="D9D9D9"/>
          </w:tcPr>
          <w:p>
            <w:pPr>
              <w:spacing w:line="240" w:lineRule="auto" w:before="0" w:after="0"/>
              <w:jc w:val="left"/>
            </w:pPr>
            <w:r>
              <w:rPr>
                <w:rFonts w:ascii="Calibri" w:hAnsi="Calibri"/>
                <w:b w:val="0"/>
                <w:color w:val="000000"/>
                <w:sz w:val="22"/>
              </w:rPr>
              <w:t>Taiobeiras</w:t>
            </w:r>
          </w:p>
        </w:tc>
        <w:tc>
          <w:tcPr>
            <w:tcW w:type="dxa" w:w="2480"/>
            <w:vAlign w:val="center"/>
            <w:shd w:fill="D9D9D9"/>
          </w:tcPr>
          <w:p>
            <w:pPr>
              <w:spacing w:line="240" w:lineRule="auto" w:before="0" w:after="0"/>
              <w:jc w:val="left"/>
            </w:pPr>
            <w:r>
              <w:rPr>
                <w:rFonts w:ascii="Calibri" w:hAnsi="Calibri"/>
                <w:b w:val="0"/>
                <w:color w:val="000000"/>
                <w:sz w:val="22"/>
              </w:rPr>
              <w:t>Tarumirim</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Teixeiras</w:t>
            </w:r>
          </w:p>
        </w:tc>
        <w:tc>
          <w:tcPr>
            <w:tcW w:type="dxa" w:w="2480"/>
            <w:vAlign w:val="center"/>
          </w:tcPr>
          <w:p>
            <w:pPr>
              <w:spacing w:line="240" w:lineRule="auto" w:before="0" w:after="0"/>
              <w:jc w:val="left"/>
            </w:pPr>
            <w:r>
              <w:rPr>
                <w:rFonts w:ascii="Calibri" w:hAnsi="Calibri"/>
                <w:b w:val="0"/>
                <w:color w:val="000000"/>
                <w:sz w:val="22"/>
              </w:rPr>
              <w:t>Teófilo Otoni</w:t>
            </w:r>
          </w:p>
        </w:tc>
        <w:tc>
          <w:tcPr>
            <w:tcW w:type="dxa" w:w="2480"/>
            <w:vAlign w:val="center"/>
          </w:tcPr>
          <w:p>
            <w:pPr>
              <w:spacing w:line="240" w:lineRule="auto" w:before="0" w:after="0"/>
              <w:jc w:val="left"/>
            </w:pPr>
            <w:r>
              <w:rPr>
                <w:rFonts w:ascii="Calibri" w:hAnsi="Calibri"/>
                <w:b w:val="0"/>
                <w:color w:val="000000"/>
                <w:sz w:val="22"/>
              </w:rPr>
              <w:t>Timóteo</w:t>
            </w:r>
          </w:p>
        </w:tc>
        <w:tc>
          <w:tcPr>
            <w:tcW w:type="dxa" w:w="2480"/>
            <w:vAlign w:val="center"/>
          </w:tcPr>
          <w:p>
            <w:pPr>
              <w:spacing w:line="240" w:lineRule="auto" w:before="0" w:after="0"/>
              <w:jc w:val="left"/>
            </w:pPr>
            <w:r>
              <w:rPr>
                <w:rFonts w:ascii="Calibri" w:hAnsi="Calibri"/>
                <w:b w:val="0"/>
                <w:color w:val="000000"/>
                <w:sz w:val="22"/>
              </w:rPr>
              <w:t>Tiros</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Tombos</w:t>
            </w:r>
          </w:p>
        </w:tc>
        <w:tc>
          <w:tcPr>
            <w:tcW w:type="dxa" w:w="2480"/>
            <w:vAlign w:val="center"/>
            <w:shd w:fill="D9D9D9"/>
          </w:tcPr>
          <w:p>
            <w:pPr>
              <w:spacing w:line="240" w:lineRule="auto" w:before="0" w:after="0"/>
              <w:jc w:val="left"/>
            </w:pPr>
            <w:r>
              <w:rPr>
                <w:rFonts w:ascii="Calibri" w:hAnsi="Calibri"/>
                <w:b w:val="0"/>
                <w:color w:val="000000"/>
                <w:sz w:val="22"/>
              </w:rPr>
              <w:t>Três Corações</w:t>
            </w:r>
          </w:p>
        </w:tc>
        <w:tc>
          <w:tcPr>
            <w:tcW w:type="dxa" w:w="2480"/>
            <w:vAlign w:val="center"/>
            <w:shd w:fill="D9D9D9"/>
          </w:tcPr>
          <w:p>
            <w:pPr>
              <w:spacing w:line="240" w:lineRule="auto" w:before="0" w:after="0"/>
              <w:jc w:val="left"/>
            </w:pPr>
            <w:r>
              <w:rPr>
                <w:rFonts w:ascii="Calibri" w:hAnsi="Calibri"/>
                <w:b w:val="0"/>
                <w:color w:val="000000"/>
                <w:sz w:val="22"/>
              </w:rPr>
              <w:t>Três Marias</w:t>
            </w:r>
          </w:p>
        </w:tc>
        <w:tc>
          <w:tcPr>
            <w:tcW w:type="dxa" w:w="2480"/>
            <w:vAlign w:val="center"/>
            <w:shd w:fill="D9D9D9"/>
          </w:tcPr>
          <w:p>
            <w:pPr>
              <w:spacing w:line="240" w:lineRule="auto" w:before="0" w:after="0"/>
              <w:jc w:val="left"/>
            </w:pPr>
            <w:r>
              <w:rPr>
                <w:rFonts w:ascii="Calibri" w:hAnsi="Calibri"/>
                <w:b w:val="0"/>
                <w:color w:val="000000"/>
                <w:sz w:val="22"/>
              </w:rPr>
              <w:t>Três pontas</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Tupaciguara</w:t>
            </w:r>
          </w:p>
        </w:tc>
        <w:tc>
          <w:tcPr>
            <w:tcW w:type="dxa" w:w="2480"/>
            <w:vAlign w:val="center"/>
          </w:tcPr>
          <w:p>
            <w:pPr>
              <w:spacing w:line="240" w:lineRule="auto" w:before="0" w:after="0"/>
              <w:jc w:val="left"/>
            </w:pPr>
            <w:r>
              <w:rPr>
                <w:rFonts w:ascii="Calibri" w:hAnsi="Calibri"/>
                <w:b w:val="0"/>
                <w:color w:val="000000"/>
                <w:sz w:val="22"/>
              </w:rPr>
              <w:t>Turmalina</w:t>
            </w:r>
          </w:p>
        </w:tc>
        <w:tc>
          <w:tcPr>
            <w:tcW w:type="dxa" w:w="2480"/>
            <w:vAlign w:val="center"/>
          </w:tcPr>
          <w:p>
            <w:pPr>
              <w:spacing w:line="240" w:lineRule="auto" w:before="0" w:after="0"/>
              <w:jc w:val="left"/>
            </w:pPr>
            <w:r>
              <w:rPr>
                <w:rFonts w:ascii="Calibri" w:hAnsi="Calibri"/>
                <w:b w:val="0"/>
                <w:color w:val="000000"/>
                <w:sz w:val="22"/>
              </w:rPr>
              <w:t>Ubá</w:t>
            </w:r>
          </w:p>
        </w:tc>
        <w:tc>
          <w:tcPr>
            <w:tcW w:type="dxa" w:w="2480"/>
            <w:vAlign w:val="center"/>
          </w:tcPr>
          <w:p>
            <w:pPr>
              <w:spacing w:line="240" w:lineRule="auto" w:before="0" w:after="0"/>
              <w:jc w:val="left"/>
            </w:pPr>
            <w:r>
              <w:rPr>
                <w:rFonts w:ascii="Calibri" w:hAnsi="Calibri"/>
                <w:b w:val="0"/>
                <w:color w:val="000000"/>
                <w:sz w:val="22"/>
              </w:rPr>
              <w:t>Uberaba</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Uberlândia</w:t>
            </w:r>
          </w:p>
        </w:tc>
        <w:tc>
          <w:tcPr>
            <w:tcW w:type="dxa" w:w="2480"/>
            <w:vAlign w:val="center"/>
            <w:shd w:fill="D9D9D9"/>
          </w:tcPr>
          <w:p>
            <w:pPr>
              <w:spacing w:line="240" w:lineRule="auto" w:before="0" w:after="0"/>
              <w:jc w:val="left"/>
            </w:pPr>
            <w:r>
              <w:rPr>
                <w:rFonts w:ascii="Calibri" w:hAnsi="Calibri"/>
                <w:b w:val="0"/>
                <w:color w:val="000000"/>
                <w:sz w:val="22"/>
              </w:rPr>
              <w:t>Unaí</w:t>
            </w:r>
          </w:p>
        </w:tc>
        <w:tc>
          <w:tcPr>
            <w:tcW w:type="dxa" w:w="2480"/>
            <w:vAlign w:val="center"/>
            <w:shd w:fill="D9D9D9"/>
          </w:tcPr>
          <w:p>
            <w:pPr>
              <w:spacing w:line="240" w:lineRule="auto" w:before="0" w:after="0"/>
              <w:jc w:val="left"/>
            </w:pPr>
            <w:r>
              <w:rPr>
                <w:rFonts w:ascii="Calibri" w:hAnsi="Calibri"/>
                <w:b w:val="0"/>
                <w:color w:val="000000"/>
                <w:sz w:val="22"/>
              </w:rPr>
              <w:t>Varginha</w:t>
            </w:r>
          </w:p>
        </w:tc>
        <w:tc>
          <w:tcPr>
            <w:tcW w:type="dxa" w:w="2480"/>
            <w:vAlign w:val="center"/>
            <w:shd w:fill="D9D9D9"/>
          </w:tcPr>
          <w:p>
            <w:pPr>
              <w:spacing w:line="240" w:lineRule="auto" w:before="0" w:after="0"/>
              <w:jc w:val="left"/>
            </w:pPr>
            <w:r>
              <w:rPr>
                <w:rFonts w:ascii="Calibri" w:hAnsi="Calibri"/>
                <w:b w:val="0"/>
                <w:color w:val="000000"/>
                <w:sz w:val="22"/>
              </w:rPr>
              <w:t>Várzea da Palma</w:t>
            </w:r>
          </w:p>
        </w:tc>
      </w:tr>
      <w:tr>
        <w:trPr>
          <w:trHeight w:val="220" w:hRule="atLeast"/>
          <w:cantSplit w:val="0"/>
        </w:trPr>
        <w:tc>
          <w:tcPr>
            <w:tcW w:type="dxa" w:w="2480"/>
            <w:vAlign w:val="center"/>
          </w:tcPr>
          <w:p>
            <w:pPr>
              <w:spacing w:line="240" w:lineRule="auto" w:before="0" w:after="0"/>
              <w:jc w:val="left"/>
            </w:pPr>
            <w:r>
              <w:rPr>
                <w:rFonts w:ascii="Calibri" w:hAnsi="Calibri"/>
                <w:b w:val="0"/>
                <w:color w:val="000000"/>
                <w:sz w:val="22"/>
              </w:rPr>
              <w:t>Vazante</w:t>
            </w:r>
          </w:p>
        </w:tc>
        <w:tc>
          <w:tcPr>
            <w:tcW w:type="dxa" w:w="2480"/>
            <w:vAlign w:val="center"/>
          </w:tcPr>
          <w:p>
            <w:pPr>
              <w:spacing w:line="240" w:lineRule="auto" w:before="0" w:after="0"/>
              <w:jc w:val="left"/>
            </w:pPr>
            <w:r>
              <w:rPr>
                <w:rFonts w:ascii="Calibri" w:hAnsi="Calibri"/>
                <w:b w:val="0"/>
                <w:color w:val="000000"/>
                <w:sz w:val="22"/>
              </w:rPr>
              <w:t>Vespasiano</w:t>
            </w:r>
          </w:p>
        </w:tc>
        <w:tc>
          <w:tcPr>
            <w:tcW w:type="dxa" w:w="2480"/>
            <w:vAlign w:val="center"/>
          </w:tcPr>
          <w:p>
            <w:pPr>
              <w:spacing w:line="240" w:lineRule="auto" w:before="0" w:after="0"/>
              <w:jc w:val="left"/>
            </w:pPr>
            <w:r>
              <w:rPr>
                <w:rFonts w:ascii="Calibri" w:hAnsi="Calibri"/>
                <w:b w:val="0"/>
                <w:color w:val="000000"/>
                <w:sz w:val="22"/>
              </w:rPr>
              <w:t>Viçosa</w:t>
            </w:r>
          </w:p>
        </w:tc>
        <w:tc>
          <w:tcPr>
            <w:tcW w:type="dxa" w:w="2480"/>
            <w:vAlign w:val="center"/>
          </w:tcPr>
          <w:p>
            <w:pPr>
              <w:spacing w:line="240" w:lineRule="auto" w:before="0" w:after="0"/>
              <w:jc w:val="left"/>
            </w:pPr>
            <w:r>
              <w:rPr>
                <w:rFonts w:ascii="Calibri" w:hAnsi="Calibri"/>
                <w:b w:val="0"/>
                <w:color w:val="000000"/>
                <w:sz w:val="22"/>
              </w:rPr>
              <w:t>Virginópolis</w:t>
            </w:r>
          </w:p>
        </w:tc>
      </w:tr>
      <w:tr>
        <w:trPr>
          <w:trHeight w:val="220" w:hRule="atLeast"/>
          <w:cantSplit w:val="0"/>
        </w:trPr>
        <w:tc>
          <w:tcPr>
            <w:tcW w:type="dxa" w:w="2480"/>
            <w:vAlign w:val="center"/>
            <w:shd w:fill="D9D9D9"/>
          </w:tcPr>
          <w:p>
            <w:pPr>
              <w:spacing w:line="240" w:lineRule="auto" w:before="0" w:after="0"/>
              <w:jc w:val="left"/>
            </w:pPr>
            <w:r>
              <w:rPr>
                <w:rFonts w:ascii="Calibri" w:hAnsi="Calibri"/>
                <w:b w:val="0"/>
                <w:color w:val="000000"/>
                <w:sz w:val="22"/>
              </w:rPr>
              <w:t>Visconde do Rio Branco</w:t>
            </w:r>
          </w:p>
        </w:tc>
        <w:tc>
          <w:tcPr>
            <w:tcW w:type="dxa" w:w="2480"/>
            <w:vAlign w:val="center"/>
            <w:shd w:fill="D9D9D9"/>
          </w:tcPr>
          <w:p>
            <w:pPr>
              <w:spacing w:line="240" w:lineRule="auto" w:before="0" w:after="0"/>
              <w:jc w:val="left"/>
            </w:pPr>
            <w:r>
              <w:rPr>
                <w:rFonts w:ascii="Calibri" w:hAnsi="Calibri"/>
                <w:b w:val="0"/>
                <w:color w:val="000000"/>
                <w:sz w:val="22"/>
              </w:rPr>
            </w:r>
          </w:p>
        </w:tc>
        <w:tc>
          <w:tcPr>
            <w:tcW w:type="dxa" w:w="2480"/>
            <w:vAlign w:val="center"/>
            <w:shd w:fill="D9D9D9"/>
          </w:tcPr>
          <w:p>
            <w:pPr>
              <w:spacing w:line="240" w:lineRule="auto" w:before="0" w:after="0"/>
              <w:jc w:val="left"/>
            </w:pPr>
            <w:r>
              <w:rPr>
                <w:rFonts w:ascii="Calibri" w:hAnsi="Calibri"/>
                <w:b w:val="0"/>
                <w:color w:val="000000"/>
                <w:sz w:val="22"/>
              </w:rPr>
            </w:r>
          </w:p>
        </w:tc>
        <w:tc>
          <w:tcPr>
            <w:tcW w:type="dxa" w:w="2480"/>
            <w:vAlign w:val="center"/>
            <w:shd w:fill="D9D9D9"/>
          </w:tcPr>
          <w:p>
            <w:pPr>
              <w:spacing w:line="240" w:lineRule="auto" w:before="0" w:after="0"/>
              <w:jc w:val="left"/>
            </w:pPr>
            <w:r>
              <w:rPr>
                <w:rFonts w:ascii="Calibri" w:hAnsi="Calibri"/>
                <w:b w:val="0"/>
                <w:color w:val="000000"/>
                <w:sz w:val="22"/>
              </w:rPr>
            </w:r>
          </w:p>
        </w:tc>
      </w:tr>
    </w:tbl>
    <w:p>
      <w:pPr>
        <w:spacing w:before="400" w:after="600"/>
        <w:jc w:val="left"/>
      </w:pPr>
      <w:r>
        <w:rPr>
          <w:rFonts w:ascii="Calibri" w:hAnsi="Calibri"/>
          <w:b w:val="0"/>
          <w:sz w:val="16"/>
        </w:rPr>
        <w:t>Tabela 04 - Comarcas Instaladas. Fonte: Portal TJMG</w:t>
      </w:r>
    </w:p>
    <w:tbl>
      <w:tblPr>
        <w:tblW w:type="auto" w:w="0"/>
        <w:tblLook w:firstColumn="1" w:firstRow="1" w:lastColumn="0" w:lastRow="0" w:noHBand="0" w:noVBand="1" w:val="04A0"/>
      </w:tblPr>
      <w:tblGrid>
        <w:gridCol w:w="9921"/>
      </w:tblGrid>
      <w:tr>
        <w:trPr>
          <w:trHeight w:val="220" w:hRule="atLeast"/>
          <w:tblHeader/>
        </w:trPr>
        <w:tc>
          <w:tcPr>
            <w:tcW w:type="dxa" w:w="9921"/>
            <w:vAlign w:val="center"/>
            <w:shd w:fill="D9D9D9"/>
            <w:tcBorders>
              <w:top w:val="single" w:sz="4" w:color="000000"/>
            </w:tcBorders>
          </w:tcPr>
          <w:p>
            <w:pPr>
              <w:spacing w:line="240" w:lineRule="auto" w:before="0" w:after="0"/>
              <w:jc w:val="left"/>
            </w:pPr>
            <w:r>
              <w:rPr>
                <w:rFonts w:ascii="Calibri" w:hAnsi="Calibri"/>
                <w:b/>
                <w:color w:val="000000"/>
                <w:sz w:val="22"/>
              </w:rPr>
              <w:t>Núcleos de Justiça 4.0 – 1ª Instância</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Núcleo de Justiça 4.0 - Cooperação Judiciária</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Núcleo de Justiça 4.0 – Cível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Núcleo de Justiça 4.0 – Criminal</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Núcleo de Justiça 4.0 - Fazenda Pública</w:t>
            </w:r>
          </w:p>
        </w:tc>
      </w:tr>
      <w:tr>
        <w:trPr>
          <w:trHeight w:val="220" w:hRule="atLeast"/>
          <w:cantSplit w:val="0"/>
        </w:trPr>
        <w:tc>
          <w:tcPr>
            <w:tcW w:type="dxa" w:w="9921"/>
            <w:vAlign w:val="center"/>
          </w:tcPr>
          <w:p>
            <w:pPr>
              <w:spacing w:line="240" w:lineRule="auto" w:before="0" w:after="0"/>
              <w:jc w:val="left"/>
            </w:pPr>
            <w:r>
              <w:rPr>
                <w:rFonts w:ascii="Calibri" w:hAnsi="Calibri"/>
                <w:b w:val="0"/>
                <w:color w:val="000000"/>
                <w:sz w:val="22"/>
              </w:rPr>
              <w:t>CEMES - Central de Execução de Medidas de Segurança 4.0</w:t>
            </w:r>
          </w:p>
        </w:tc>
      </w:tr>
    </w:tbl>
    <w:p>
      <w:pPr>
        <w:spacing w:before="120" w:after="600"/>
        <w:jc w:val="left"/>
      </w:pPr>
      <w:r>
        <w:rPr>
          <w:rFonts w:ascii="Calibri" w:hAnsi="Calibri"/>
          <w:b w:val="0"/>
          <w:sz w:val="16"/>
        </w:rPr>
        <w:t>Tabela 05 - Relação dos Núcleos de Justiça 4.0 da Primeira Instância. Fonte: Infoguia</w:t>
      </w:r>
    </w:p>
    <w:p>
      <w:pPr>
        <w:spacing w:line="360" w:lineRule="auto" w:after="160"/>
        <w:jc w:val="both"/>
      </w:pPr>
      <w:r>
        <w:t>Além disso, o Tribunal possui 298 Centros Judiciais de Solução de Conflitos e Cidadania (Cejusc) instalados. Temos também os seguintes CEJUSCs especializados:</w:t>
      </w:r>
    </w:p>
    <w:p>
      <w:pPr>
        <w:pStyle w:val="ListNumber"/>
        <w:spacing w:line="240" w:lineRule="auto" w:after="80"/>
        <w:jc w:val="both"/>
      </w:pPr>
      <w:r>
        <w:t>CEJUSC-2º GRAU</w:t>
      </w:r>
    </w:p>
    <w:p>
      <w:pPr>
        <w:pStyle w:val="ListNumber"/>
        <w:spacing w:line="240" w:lineRule="auto" w:after="80"/>
        <w:jc w:val="both"/>
      </w:pPr>
      <w:r>
        <w:t>CEJUS Ambiental</w:t>
      </w:r>
    </w:p>
    <w:p>
      <w:pPr>
        <w:pStyle w:val="ListNumber"/>
        <w:spacing w:line="240" w:lineRule="auto" w:after="80"/>
        <w:jc w:val="both"/>
      </w:pPr>
      <w:r>
        <w:t>CEJUS Social</w:t>
      </w:r>
    </w:p>
    <w:p>
      <w:pPr>
        <w:pStyle w:val="ListNumber"/>
        <w:spacing w:line="240" w:lineRule="auto" w:after="80"/>
        <w:jc w:val="both"/>
      </w:pPr>
      <w:r>
        <w:t>CEJUSC Família</w:t>
      </w:r>
    </w:p>
    <w:p>
      <w:pPr>
        <w:pStyle w:val="ListNumber"/>
        <w:spacing w:line="240" w:lineRule="auto" w:after="80"/>
        <w:jc w:val="both"/>
      </w:pPr>
      <w:r>
        <w:t>CEJUSC Virtual</w:t>
      </w:r>
    </w:p>
    <w:p>
      <w:pPr>
        <w:pStyle w:val="ListNumber"/>
        <w:spacing w:line="240" w:lineRule="auto" w:after="80"/>
        <w:jc w:val="both"/>
      </w:pPr>
      <w:r>
        <w:t>CEJUSC Tributário</w:t>
      </w:r>
    </w:p>
    <w:p>
      <w:pPr>
        <w:pStyle w:val="ListNumber"/>
        <w:spacing w:line="240" w:lineRule="auto" w:after="80"/>
        <w:jc w:val="both"/>
      </w:pPr>
      <w:r>
        <w:t>CEJUSC Empresarial</w:t>
      </w:r>
    </w:p>
    <w:p>
      <w:pPr>
        <w:pStyle w:val="ListNumber"/>
        <w:spacing w:line="240" w:lineRule="auto" w:after="80"/>
        <w:jc w:val="both"/>
      </w:pPr>
      <w:r>
        <w:t>CEJUSC Saúde</w:t>
      </w:r>
    </w:p>
    <w:p>
      <w:pPr>
        <w:pStyle w:val="ListNumber"/>
        <w:spacing w:line="240" w:lineRule="auto" w:after="240"/>
        <w:jc w:val="both"/>
      </w:pPr>
      <w:r>
        <w:t>CEJUSC - Povos e Comunidades Tradicionais</w:t>
      </w:r>
    </w:p>
    <w:p>
      <w:pPr>
        <w:spacing w:line="360" w:lineRule="auto" w:after="160"/>
        <w:jc w:val="both"/>
      </w:pPr>
      <w:r>
        <w:t>A prestação jurisdicional e as atividades administrativa contam com um total de 13.754 servidores, sendo que 3.045 atuam na Segunda Instância e 10.709 na Primeira Instância.</w:t>
      </w:r>
    </w:p>
    <w:p>
      <w:pPr>
        <w:spacing w:line="360" w:lineRule="auto" w:after="160"/>
        <w:jc w:val="both"/>
      </w:pPr>
      <w:r>
        <w:t>No que se refere aos vários colaboradores da justiça, podemos destacar a atividade de juízes leigos, conciliadores, mediadores, terceirizados e estagiários, totalizando 18.247 pessoas.</w:t>
      </w:r>
    </w:p>
    <w:p>
      <w:pPr>
        <w:spacing w:line="360" w:lineRule="auto" w:after="160"/>
        <w:jc w:val="both"/>
      </w:pPr>
      <w:r>
        <w:t>Em 2019, o Governador de Minas Gerais, Romeu Zema Neto, sancionou a Lei n° 23.478 que unifica o quadro de servidores do Tribunal de Justiça de Minas Gerais (TJMG), criando isonomia para remoção, permuta, processos seletivos, remuneração e promoção vertical entre os servidores de Primeira e Segunda instâncias no Tribunal.</w:t>
      </w:r>
    </w:p>
    <w:p>
      <w:pPr>
        <w:spacing w:line="360" w:lineRule="auto" w:after="160"/>
        <w:jc w:val="both"/>
      </w:pPr>
      <w:r>
        <w:t>A síntese da estrutura na área fim, da força de trabalho do TJMG e de colaboradores da justiça está explícita nas figuras abaixo:</w:t>
      </w:r>
    </w:p>
    <w:p>
      <w:pPr>
        <w:jc w:val="left"/>
      </w:pPr>
      <w:r>
        <w:drawing>
          <wp:inline xmlns:a="http://schemas.openxmlformats.org/drawingml/2006/main" xmlns:pic="http://schemas.openxmlformats.org/drawingml/2006/picture">
            <wp:extent cx="5940000" cy="3341250"/>
            <wp:docPr id="1" name="Picture 1"/>
            <wp:cNvGraphicFramePr>
              <a:graphicFrameLocks noChangeAspect="1"/>
            </wp:cNvGraphicFramePr>
            <a:graphic>
              <a:graphicData uri="http://schemas.openxmlformats.org/drawingml/2006/picture">
                <pic:pic>
                  <pic:nvPicPr>
                    <pic:cNvPr id="0" name="figura_02.png"/>
                    <pic:cNvPicPr/>
                  </pic:nvPicPr>
                  <pic:blipFill>
                    <a:blip r:embed="rId10"/>
                    <a:stretch>
                      <a:fillRect/>
                    </a:stretch>
                  </pic:blipFill>
                  <pic:spPr>
                    <a:xfrm>
                      <a:off x="0" y="0"/>
                      <a:ext cx="5940000" cy="3341250"/>
                    </a:xfrm>
                    <a:prstGeom prst="rect"/>
                  </pic:spPr>
                </pic:pic>
              </a:graphicData>
            </a:graphic>
          </wp:inline>
        </w:drawing>
      </w:r>
    </w:p>
    <w:p>
      <w:pPr>
        <w:spacing w:before="120" w:after="0"/>
        <w:jc w:val="left"/>
      </w:pPr>
      <w:r>
        <w:rPr>
          <w:rFonts w:ascii="Calibri" w:hAnsi="Calibri"/>
          <w:b w:val="0"/>
          <w:sz w:val="16"/>
        </w:rPr>
        <w:t>Figura 02 - Síntese da estrutura na área fim.</w:t>
      </w:r>
    </w:p>
    <w:p>
      <w:pPr>
        <w:spacing w:after="600"/>
        <w:jc w:val="left"/>
      </w:pPr>
      <w:r>
        <w:rPr>
          <w:rFonts w:ascii="Calibri" w:hAnsi="Calibri"/>
          <w:sz w:val="16"/>
        </w:rPr>
        <w:t>Fonte: Centro de Informações para a Gestão Institucional – CEINFO.</w:t>
      </w:r>
    </w:p>
    <w:p>
      <w:pPr>
        <w:jc w:val="left"/>
      </w:pPr>
      <w:r>
        <w:drawing>
          <wp:inline xmlns:a="http://schemas.openxmlformats.org/drawingml/2006/main" xmlns:pic="http://schemas.openxmlformats.org/drawingml/2006/picture">
            <wp:extent cx="5940000" cy="2085187"/>
            <wp:docPr id="2" name="Picture 2"/>
            <wp:cNvGraphicFramePr>
              <a:graphicFrameLocks noChangeAspect="1"/>
            </wp:cNvGraphicFramePr>
            <a:graphic>
              <a:graphicData uri="http://schemas.openxmlformats.org/drawingml/2006/picture">
                <pic:pic>
                  <pic:nvPicPr>
                    <pic:cNvPr id="0" name="figura_03.png"/>
                    <pic:cNvPicPr/>
                  </pic:nvPicPr>
                  <pic:blipFill>
                    <a:blip r:embed="rId11"/>
                    <a:stretch>
                      <a:fillRect/>
                    </a:stretch>
                  </pic:blipFill>
                  <pic:spPr>
                    <a:xfrm>
                      <a:off x="0" y="0"/>
                      <a:ext cx="5940000" cy="2085187"/>
                    </a:xfrm>
                    <a:prstGeom prst="rect"/>
                  </pic:spPr>
                </pic:pic>
              </a:graphicData>
            </a:graphic>
          </wp:inline>
        </w:drawing>
      </w:r>
    </w:p>
    <w:p>
      <w:pPr>
        <w:spacing w:before="120" w:after="0"/>
        <w:jc w:val="left"/>
      </w:pPr>
      <w:r>
        <w:rPr>
          <w:rFonts w:ascii="Calibri" w:hAnsi="Calibri"/>
          <w:b w:val="0"/>
          <w:sz w:val="16"/>
        </w:rPr>
        <w:t>Figura 03 - Novas estruturas na área fim.</w:t>
      </w:r>
    </w:p>
    <w:p>
      <w:pPr>
        <w:spacing w:after="600"/>
        <w:jc w:val="left"/>
      </w:pPr>
      <w:r>
        <w:rPr>
          <w:rFonts w:ascii="Calibri" w:hAnsi="Calibri"/>
          <w:sz w:val="16"/>
        </w:rPr>
        <w:t>Fonte: Centro de Informações para a Gestão Institucional – CEINFO          (*)Atualmente, existem 8 fóruns digitais, dos quais 5 estão instalados e operando, 1 está em fase de conclusão, aguardando a definição da data de inauguração e 2 estão funcionando em prédios cedidos por meio de convênios entre o tribunal e as prefeituras dos respectivos municípios.</w:t>
      </w:r>
    </w:p>
    <w:p>
      <w:pPr>
        <w:jc w:val="left"/>
      </w:pPr>
      <w:r>
        <w:drawing>
          <wp:inline xmlns:a="http://schemas.openxmlformats.org/drawingml/2006/main" xmlns:pic="http://schemas.openxmlformats.org/drawingml/2006/picture">
            <wp:extent cx="5940000" cy="2227500"/>
            <wp:docPr id="3" name="Picture 3"/>
            <wp:cNvGraphicFramePr>
              <a:graphicFrameLocks noChangeAspect="1"/>
            </wp:cNvGraphicFramePr>
            <a:graphic>
              <a:graphicData uri="http://schemas.openxmlformats.org/drawingml/2006/picture">
                <pic:pic>
                  <pic:nvPicPr>
                    <pic:cNvPr id="0" name="figura_04.png"/>
                    <pic:cNvPicPr/>
                  </pic:nvPicPr>
                  <pic:blipFill>
                    <a:blip r:embed="rId12"/>
                    <a:stretch>
                      <a:fillRect/>
                    </a:stretch>
                  </pic:blipFill>
                  <pic:spPr>
                    <a:xfrm>
                      <a:off x="0" y="0"/>
                      <a:ext cx="5940000" cy="2227500"/>
                    </a:xfrm>
                    <a:prstGeom prst="rect"/>
                  </pic:spPr>
                </pic:pic>
              </a:graphicData>
            </a:graphic>
          </wp:inline>
        </w:drawing>
      </w:r>
    </w:p>
    <w:p>
      <w:pPr>
        <w:spacing w:before="120" w:after="0"/>
        <w:jc w:val="left"/>
      </w:pPr>
      <w:r>
        <w:rPr>
          <w:rFonts w:ascii="Calibri" w:hAnsi="Calibri"/>
          <w:b w:val="0"/>
          <w:sz w:val="16"/>
        </w:rPr>
        <w:t>Figura 04 - Força de Trabalho.</w:t>
      </w:r>
    </w:p>
    <w:p>
      <w:pPr>
        <w:spacing w:after="600"/>
        <w:jc w:val="left"/>
      </w:pPr>
      <w:r>
        <w:rPr>
          <w:rFonts w:ascii="Calibri" w:hAnsi="Calibri"/>
          <w:sz w:val="16"/>
        </w:rPr>
        <w:t>Fonte: Centro de Informações para a Gestão Institucional – CEINFO.</w:t>
      </w:r>
    </w:p>
    <w:p>
      <w:pPr>
        <w:jc w:val="left"/>
      </w:pPr>
      <w:r>
        <w:drawing>
          <wp:inline xmlns:a="http://schemas.openxmlformats.org/drawingml/2006/main" xmlns:pic="http://schemas.openxmlformats.org/drawingml/2006/picture">
            <wp:extent cx="5940000" cy="2406937"/>
            <wp:docPr id="4" name="Picture 4"/>
            <wp:cNvGraphicFramePr>
              <a:graphicFrameLocks noChangeAspect="1"/>
            </wp:cNvGraphicFramePr>
            <a:graphic>
              <a:graphicData uri="http://schemas.openxmlformats.org/drawingml/2006/picture">
                <pic:pic>
                  <pic:nvPicPr>
                    <pic:cNvPr id="0" name="figura_05.png"/>
                    <pic:cNvPicPr/>
                  </pic:nvPicPr>
                  <pic:blipFill>
                    <a:blip r:embed="rId13"/>
                    <a:stretch>
                      <a:fillRect/>
                    </a:stretch>
                  </pic:blipFill>
                  <pic:spPr>
                    <a:xfrm>
                      <a:off x="0" y="0"/>
                      <a:ext cx="5940000" cy="2406937"/>
                    </a:xfrm>
                    <a:prstGeom prst="rect"/>
                  </pic:spPr>
                </pic:pic>
              </a:graphicData>
            </a:graphic>
          </wp:inline>
        </w:drawing>
      </w:r>
    </w:p>
    <w:p>
      <w:pPr>
        <w:spacing w:before="120" w:after="0"/>
        <w:jc w:val="left"/>
      </w:pPr>
      <w:r>
        <w:rPr>
          <w:rFonts w:ascii="Calibri" w:hAnsi="Calibri"/>
          <w:b w:val="0"/>
          <w:sz w:val="16"/>
        </w:rPr>
        <w:t>Figura 05 - Colaboradores da Justiça.</w:t>
      </w:r>
    </w:p>
    <w:p>
      <w:pPr>
        <w:spacing w:after="600"/>
        <w:jc w:val="left"/>
      </w:pPr>
      <w:r>
        <w:rPr>
          <w:rFonts w:ascii="Calibri" w:hAnsi="Calibri"/>
          <w:sz w:val="16"/>
        </w:rPr>
        <w:t>Fonte: Centro de Informações para a Gestão Institucional – CEINFO.</w:t>
      </w:r>
    </w:p>
    <w:p>
      <w:r>
        <w:br w:type="page"/>
      </w:r>
    </w:p>
    <w:p>
      <w:pPr>
        <w:pStyle w:val="Heading3"/>
        <w:spacing w:after="400"/>
      </w:pPr>
      <w:r>
        <w:t>3.2.1 Força de Trabalho e Colaboradores na Área de TIC</w:t>
      </w:r>
    </w:p>
    <w:p>
      <w:pPr>
        <w:jc w:val="left"/>
      </w:pPr>
      <w:r>
        <w:drawing>
          <wp:inline xmlns:a="http://schemas.openxmlformats.org/drawingml/2006/main" xmlns:pic="http://schemas.openxmlformats.org/drawingml/2006/picture">
            <wp:extent cx="5940000" cy="1686094"/>
            <wp:docPr id="5" name="Picture 5"/>
            <wp:cNvGraphicFramePr>
              <a:graphicFrameLocks noChangeAspect="1"/>
            </wp:cNvGraphicFramePr>
            <a:graphic>
              <a:graphicData uri="http://schemas.openxmlformats.org/drawingml/2006/picture">
                <pic:pic>
                  <pic:nvPicPr>
                    <pic:cNvPr id="0" name="figura_06.png"/>
                    <pic:cNvPicPr/>
                  </pic:nvPicPr>
                  <pic:blipFill>
                    <a:blip r:embed="rId14"/>
                    <a:stretch>
                      <a:fillRect/>
                    </a:stretch>
                  </pic:blipFill>
                  <pic:spPr>
                    <a:xfrm>
                      <a:off x="0" y="0"/>
                      <a:ext cx="5940000" cy="1686094"/>
                    </a:xfrm>
                    <a:prstGeom prst="rect"/>
                  </pic:spPr>
                </pic:pic>
              </a:graphicData>
            </a:graphic>
          </wp:inline>
        </w:drawing>
      </w:r>
    </w:p>
    <w:p>
      <w:pPr>
        <w:spacing w:before="120" w:after="0"/>
        <w:jc w:val="left"/>
      </w:pPr>
      <w:r>
        <w:rPr>
          <w:rFonts w:ascii="Calibri" w:hAnsi="Calibri"/>
          <w:b w:val="0"/>
          <w:sz w:val="16"/>
        </w:rPr>
        <w:t>Figura 06 – Força de Trabalho e Colaboradores na área de TI.</w:t>
      </w:r>
    </w:p>
    <w:p>
      <w:pPr>
        <w:spacing w:after="600"/>
        <w:jc w:val="left"/>
      </w:pPr>
      <w:r>
        <w:rPr>
          <w:rFonts w:ascii="Calibri" w:hAnsi="Calibri"/>
          <w:sz w:val="16"/>
        </w:rPr>
        <w:t>Fonte: Centro de Informações para a Gestão Institucional – CEINFO.</w:t>
      </w:r>
    </w:p>
    <w:p>
      <w:pPr>
        <w:pStyle w:val="Heading2"/>
        <w:spacing w:after="400"/>
      </w:pPr>
      <w:r>
        <w:t>3.3 Movimentação Processual do Estado (TJMG)</w:t>
      </w:r>
    </w:p>
    <w:p>
      <w:pPr>
        <w:spacing w:line="360" w:lineRule="auto" w:after="160"/>
        <w:jc w:val="both"/>
      </w:pPr>
      <w:r>
        <w:t>Com relação aos dados estatísticos da prestação jurisdicional, em 2024, foram distribuídos na Segunda Instância 334.528 processos e 2.440.770 na Primeira Instância. Por outro lado, em 2024, foram julgados na Segunda Instância 337.993 processos e 2.450.490 na Primeira Instância. Restando, assim, no último dia do ano de 2024 o acervo de 206.944 processos na Segunda Instância e 5.052.398 na Primeira Instância.</w:t>
      </w:r>
    </w:p>
    <w:p>
      <w:pPr>
        <w:spacing w:line="360" w:lineRule="auto" w:after="160"/>
        <w:jc w:val="both"/>
      </w:pPr>
      <w:r>
        <w:t>O comparativo dos resultados apontados pode ser feito observando-se as tabelas abaixo:</w:t>
      </w:r>
    </w:p>
    <w:tbl>
      <w:tblPr>
        <w:tblW w:type="auto" w:w="0"/>
        <w:tblLook w:firstColumn="1" w:firstRow="1" w:lastColumn="0" w:lastRow="0" w:noHBand="0" w:noVBand="1" w:val="04A0"/>
      </w:tblPr>
      <w:tblGrid>
        <w:gridCol w:w="1814"/>
        <w:gridCol w:w="1209"/>
        <w:gridCol w:w="1209"/>
        <w:gridCol w:w="1209"/>
        <w:gridCol w:w="1209"/>
        <w:gridCol w:w="1209"/>
        <w:gridCol w:w="1209"/>
      </w:tblGrid>
      <w:tr>
        <w:trPr>
          <w:trHeight w:val="340" w:hRule="atLeast"/>
          <w:tblHeader/>
        </w:trPr>
        <w:tc>
          <w:tcPr>
            <w:tcW w:type="dxa" w:w="9068"/>
            <w:gridSpan w:val="7"/>
            <w:shd w:fill="7F7F7F"/>
            <w:vAlign w:val="center"/>
          </w:tcPr>
          <w:p>
            <w:pPr>
              <w:jc w:val="center"/>
            </w:pPr>
            <w:r>
              <w:rPr>
                <w:rFonts w:ascii="Calibri" w:hAnsi="Calibri"/>
                <w:b/>
                <w:color w:val="FFFFFF"/>
                <w:sz w:val="24"/>
              </w:rPr>
              <w:t>PROCESSOS DISTRIBUÍDOS</w:t>
            </w:r>
          </w:p>
        </w:tc>
      </w:tr>
      <w:tr>
        <w:trPr>
          <w:trHeight w:val="340" w:hRule="atLeast"/>
          <w:tblHeader/>
        </w:trPr>
        <w:tc>
          <w:tcPr>
            <w:tcW w:type="dxa" w:w="1814"/>
            <w:vAlign w:val="center"/>
            <w:tcBorders>
              <w:bottom w:val="single" w:sz="4" w:color="000000"/>
            </w:tcBorders>
          </w:tcPr>
          <w:p>
            <w:pPr>
              <w:jc w:val="center"/>
            </w:pPr>
            <w:r>
              <w:rPr>
                <w:rFonts w:ascii="Calibri" w:hAnsi="Calibri"/>
                <w:b/>
                <w:color w:val="000000"/>
                <w:sz w:val="24"/>
              </w:rPr>
              <w:t>Instância</w:t>
            </w:r>
          </w:p>
        </w:tc>
        <w:tc>
          <w:tcPr>
            <w:tcW w:type="dxa" w:w="1209"/>
            <w:vAlign w:val="center"/>
            <w:tcBorders>
              <w:bottom w:val="single" w:sz="4" w:color="000000"/>
            </w:tcBorders>
          </w:tcPr>
          <w:p>
            <w:pPr>
              <w:jc w:val="center"/>
            </w:pPr>
            <w:r>
              <w:rPr>
                <w:rFonts w:ascii="Calibri" w:hAnsi="Calibri"/>
                <w:b/>
                <w:color w:val="000000"/>
                <w:sz w:val="24"/>
              </w:rPr>
              <w:t>2020</w:t>
            </w:r>
          </w:p>
        </w:tc>
        <w:tc>
          <w:tcPr>
            <w:tcW w:type="dxa" w:w="1209"/>
            <w:vAlign w:val="center"/>
            <w:tcBorders>
              <w:bottom w:val="single" w:sz="4" w:color="000000"/>
            </w:tcBorders>
          </w:tcPr>
          <w:p>
            <w:pPr>
              <w:jc w:val="center"/>
            </w:pPr>
            <w:r>
              <w:rPr>
                <w:rFonts w:ascii="Calibri" w:hAnsi="Calibri"/>
                <w:b/>
                <w:color w:val="000000"/>
                <w:sz w:val="24"/>
              </w:rPr>
              <w:t>2021</w:t>
            </w:r>
          </w:p>
        </w:tc>
        <w:tc>
          <w:tcPr>
            <w:tcW w:type="dxa" w:w="1209"/>
            <w:vAlign w:val="center"/>
            <w:tcBorders>
              <w:bottom w:val="single" w:sz="4" w:color="000000"/>
            </w:tcBorders>
          </w:tcPr>
          <w:p>
            <w:pPr>
              <w:jc w:val="center"/>
            </w:pPr>
            <w:r>
              <w:rPr>
                <w:rFonts w:ascii="Calibri" w:hAnsi="Calibri"/>
                <w:b/>
                <w:color w:val="000000"/>
                <w:sz w:val="24"/>
              </w:rPr>
              <w:t>2022</w:t>
            </w:r>
          </w:p>
        </w:tc>
        <w:tc>
          <w:tcPr>
            <w:tcW w:type="dxa" w:w="1209"/>
            <w:vAlign w:val="center"/>
            <w:tcBorders>
              <w:bottom w:val="single" w:sz="4" w:color="000000"/>
            </w:tcBorders>
          </w:tcPr>
          <w:p>
            <w:pPr>
              <w:jc w:val="center"/>
            </w:pPr>
            <w:r>
              <w:rPr>
                <w:rFonts w:ascii="Calibri" w:hAnsi="Calibri"/>
                <w:b/>
                <w:color w:val="000000"/>
                <w:sz w:val="24"/>
              </w:rPr>
              <w:t>2023</w:t>
            </w:r>
          </w:p>
        </w:tc>
        <w:tc>
          <w:tcPr>
            <w:tcW w:type="dxa" w:w="1209"/>
            <w:vAlign w:val="center"/>
            <w:shd w:fill="44546A"/>
            <w:tcBorders>
              <w:bottom w:val="single" w:sz="4" w:color="000000"/>
            </w:tcBorders>
          </w:tcPr>
          <w:p>
            <w:pPr>
              <w:jc w:val="center"/>
            </w:pPr>
            <w:r>
              <w:rPr>
                <w:rFonts w:ascii="Calibri" w:hAnsi="Calibri"/>
                <w:b/>
                <w:color w:val="FFFFFF"/>
                <w:sz w:val="24"/>
              </w:rPr>
              <w:t>2024</w:t>
            </w:r>
          </w:p>
        </w:tc>
        <w:tc>
          <w:tcPr>
            <w:tcW w:type="dxa" w:w="1209"/>
            <w:vAlign w:val="center"/>
            <w:tcBorders>
              <w:bottom w:val="single" w:sz="4" w:color="000000"/>
            </w:tcBorders>
          </w:tcPr>
          <w:p>
            <w:pPr>
              <w:jc w:val="center"/>
            </w:pPr>
            <w:r>
              <w:rPr>
                <w:rFonts w:ascii="Calibri" w:hAnsi="Calibri"/>
                <w:b/>
                <w:color w:val="000000"/>
                <w:sz w:val="24"/>
              </w:rPr>
              <w:t>Média</w:t>
            </w:r>
          </w:p>
        </w:tc>
      </w:tr>
      <w:tr>
        <w:trPr>
          <w:trHeight w:val="340" w:hRule="atLeast"/>
          <w:cantSplit w:val="0"/>
        </w:trPr>
        <w:tc>
          <w:tcPr>
            <w:tcW w:type="dxa" w:w="1814"/>
            <w:vAlign w:val="center"/>
            <w:shd w:fill="D9D9D9"/>
          </w:tcPr>
          <w:p>
            <w:pPr>
              <w:spacing w:line="240" w:lineRule="auto" w:before="0" w:after="0"/>
              <w:jc w:val="center"/>
            </w:pPr>
            <w:r>
              <w:rPr>
                <w:rFonts w:ascii="Calibri" w:hAnsi="Calibri"/>
                <w:b w:val="0"/>
                <w:color w:val="000000"/>
                <w:sz w:val="24"/>
              </w:rPr>
              <w:t>Justiça Comum</w:t>
            </w:r>
          </w:p>
        </w:tc>
        <w:tc>
          <w:tcPr>
            <w:tcW w:type="dxa" w:w="1209"/>
            <w:vAlign w:val="center"/>
            <w:shd w:fill="D9D9D9"/>
          </w:tcPr>
          <w:p>
            <w:pPr>
              <w:spacing w:line="240" w:lineRule="auto" w:before="0" w:after="0"/>
              <w:jc w:val="center"/>
            </w:pPr>
            <w:r>
              <w:rPr>
                <w:rFonts w:ascii="Calibri" w:hAnsi="Calibri"/>
                <w:b w:val="0"/>
                <w:color w:val="000000"/>
                <w:sz w:val="24"/>
              </w:rPr>
              <w:t>1.191.628</w:t>
            </w:r>
          </w:p>
        </w:tc>
        <w:tc>
          <w:tcPr>
            <w:tcW w:type="dxa" w:w="1209"/>
            <w:vAlign w:val="center"/>
            <w:shd w:fill="D9D9D9"/>
          </w:tcPr>
          <w:p>
            <w:pPr>
              <w:spacing w:line="240" w:lineRule="auto" w:before="0" w:after="0"/>
              <w:jc w:val="center"/>
            </w:pPr>
            <w:r>
              <w:rPr>
                <w:rFonts w:ascii="Calibri" w:hAnsi="Calibri"/>
                <w:b w:val="0"/>
                <w:color w:val="000000"/>
                <w:sz w:val="24"/>
              </w:rPr>
              <w:t>1.365.924</w:t>
            </w:r>
          </w:p>
        </w:tc>
        <w:tc>
          <w:tcPr>
            <w:tcW w:type="dxa" w:w="1209"/>
            <w:vAlign w:val="center"/>
            <w:shd w:fill="D9D9D9"/>
          </w:tcPr>
          <w:p>
            <w:pPr>
              <w:spacing w:line="240" w:lineRule="auto" w:before="0" w:after="0"/>
              <w:jc w:val="center"/>
            </w:pPr>
            <w:r>
              <w:rPr>
                <w:rFonts w:ascii="Calibri" w:hAnsi="Calibri"/>
                <w:b w:val="0"/>
                <w:color w:val="000000"/>
                <w:sz w:val="24"/>
              </w:rPr>
              <w:t>1.565.819</w:t>
            </w:r>
          </w:p>
        </w:tc>
        <w:tc>
          <w:tcPr>
            <w:tcW w:type="dxa" w:w="1209"/>
            <w:vAlign w:val="center"/>
            <w:shd w:fill="D9D9D9"/>
          </w:tcPr>
          <w:p>
            <w:pPr>
              <w:spacing w:line="240" w:lineRule="auto" w:before="0" w:after="0"/>
              <w:jc w:val="center"/>
            </w:pPr>
            <w:r>
              <w:rPr>
                <w:rFonts w:ascii="Calibri" w:hAnsi="Calibri"/>
                <w:b w:val="0"/>
                <w:color w:val="000000"/>
                <w:sz w:val="24"/>
              </w:rPr>
              <w:t>1.710.153</w:t>
            </w:r>
          </w:p>
        </w:tc>
        <w:tc>
          <w:tcPr>
            <w:tcW w:type="dxa" w:w="1209"/>
            <w:vAlign w:val="center"/>
            <w:shd w:fill="D5DCE4"/>
          </w:tcPr>
          <w:p>
            <w:pPr>
              <w:spacing w:line="240" w:lineRule="auto" w:before="0" w:after="0"/>
              <w:jc w:val="center"/>
            </w:pPr>
            <w:r>
              <w:rPr>
                <w:rFonts w:ascii="Calibri" w:hAnsi="Calibri"/>
                <w:b w:val="0"/>
                <w:color w:val="000000"/>
                <w:sz w:val="24"/>
              </w:rPr>
              <w:t>1.675.686</w:t>
            </w:r>
          </w:p>
        </w:tc>
        <w:tc>
          <w:tcPr>
            <w:tcW w:type="dxa" w:w="1209"/>
            <w:vAlign w:val="center"/>
            <w:shd w:fill="D9D9D9"/>
          </w:tcPr>
          <w:p>
            <w:pPr>
              <w:spacing w:line="240" w:lineRule="auto" w:before="0" w:after="0"/>
              <w:jc w:val="center"/>
            </w:pPr>
            <w:r>
              <w:rPr>
                <w:rFonts w:ascii="Calibri" w:hAnsi="Calibri"/>
                <w:b w:val="0"/>
                <w:color w:val="000000"/>
                <w:sz w:val="24"/>
              </w:rPr>
              <w:t>1.501.842</w:t>
            </w:r>
          </w:p>
        </w:tc>
      </w:tr>
      <w:tr>
        <w:trPr>
          <w:trHeight w:val="340" w:hRule="atLeast"/>
          <w:cantSplit w:val="0"/>
        </w:trPr>
        <w:tc>
          <w:tcPr>
            <w:tcW w:type="dxa" w:w="1814"/>
            <w:vAlign w:val="center"/>
          </w:tcPr>
          <w:p>
            <w:pPr>
              <w:spacing w:line="240" w:lineRule="auto" w:before="0" w:after="0"/>
              <w:jc w:val="center"/>
            </w:pPr>
            <w:r>
              <w:rPr>
                <w:rFonts w:ascii="Calibri" w:hAnsi="Calibri"/>
                <w:b w:val="0"/>
                <w:color w:val="000000"/>
                <w:sz w:val="24"/>
              </w:rPr>
              <w:t>Juizado Especial</w:t>
            </w:r>
          </w:p>
        </w:tc>
        <w:tc>
          <w:tcPr>
            <w:tcW w:type="dxa" w:w="1209"/>
            <w:vAlign w:val="center"/>
          </w:tcPr>
          <w:p>
            <w:pPr>
              <w:spacing w:line="240" w:lineRule="auto" w:before="0" w:after="0"/>
              <w:jc w:val="center"/>
            </w:pPr>
            <w:r>
              <w:rPr>
                <w:rFonts w:ascii="Calibri" w:hAnsi="Calibri"/>
                <w:b w:val="0"/>
                <w:color w:val="000000"/>
                <w:sz w:val="24"/>
              </w:rPr>
              <w:t>534.375</w:t>
            </w:r>
          </w:p>
        </w:tc>
        <w:tc>
          <w:tcPr>
            <w:tcW w:type="dxa" w:w="1209"/>
            <w:vAlign w:val="center"/>
          </w:tcPr>
          <w:p>
            <w:pPr>
              <w:spacing w:line="240" w:lineRule="auto" w:before="0" w:after="0"/>
              <w:jc w:val="center"/>
            </w:pPr>
            <w:r>
              <w:rPr>
                <w:rFonts w:ascii="Calibri" w:hAnsi="Calibri"/>
                <w:b w:val="0"/>
                <w:color w:val="000000"/>
                <w:sz w:val="24"/>
              </w:rPr>
              <w:t>536.797</w:t>
            </w:r>
          </w:p>
        </w:tc>
        <w:tc>
          <w:tcPr>
            <w:tcW w:type="dxa" w:w="1209"/>
            <w:vAlign w:val="center"/>
          </w:tcPr>
          <w:p>
            <w:pPr>
              <w:spacing w:line="240" w:lineRule="auto" w:before="0" w:after="0"/>
              <w:jc w:val="center"/>
            </w:pPr>
            <w:r>
              <w:rPr>
                <w:rFonts w:ascii="Calibri" w:hAnsi="Calibri"/>
                <w:b w:val="0"/>
                <w:color w:val="000000"/>
                <w:sz w:val="24"/>
              </w:rPr>
              <w:t>558.504</w:t>
            </w:r>
          </w:p>
        </w:tc>
        <w:tc>
          <w:tcPr>
            <w:tcW w:type="dxa" w:w="1209"/>
            <w:vAlign w:val="center"/>
          </w:tcPr>
          <w:p>
            <w:pPr>
              <w:spacing w:line="240" w:lineRule="auto" w:before="0" w:after="0"/>
              <w:jc w:val="center"/>
            </w:pPr>
            <w:r>
              <w:rPr>
                <w:rFonts w:ascii="Calibri" w:hAnsi="Calibri"/>
                <w:b w:val="0"/>
                <w:color w:val="000000"/>
                <w:sz w:val="24"/>
              </w:rPr>
              <w:t>622.683</w:t>
            </w:r>
          </w:p>
        </w:tc>
        <w:tc>
          <w:tcPr>
            <w:tcW w:type="dxa" w:w="1209"/>
            <w:vAlign w:val="center"/>
            <w:shd w:fill="D5DCE4"/>
          </w:tcPr>
          <w:p>
            <w:pPr>
              <w:spacing w:line="240" w:lineRule="auto" w:before="0" w:after="0"/>
              <w:jc w:val="center"/>
            </w:pPr>
            <w:r>
              <w:rPr>
                <w:rFonts w:ascii="Calibri" w:hAnsi="Calibri"/>
                <w:b w:val="0"/>
                <w:color w:val="000000"/>
                <w:sz w:val="24"/>
              </w:rPr>
              <w:t>661.356</w:t>
            </w:r>
          </w:p>
        </w:tc>
        <w:tc>
          <w:tcPr>
            <w:tcW w:type="dxa" w:w="1209"/>
            <w:vAlign w:val="center"/>
          </w:tcPr>
          <w:p>
            <w:pPr>
              <w:spacing w:line="240" w:lineRule="auto" w:before="0" w:after="0"/>
              <w:jc w:val="center"/>
            </w:pPr>
            <w:r>
              <w:rPr>
                <w:rFonts w:ascii="Calibri" w:hAnsi="Calibri"/>
                <w:b w:val="0"/>
                <w:color w:val="000000"/>
                <w:sz w:val="24"/>
              </w:rPr>
              <w:t>582.743</w:t>
            </w:r>
          </w:p>
        </w:tc>
      </w:tr>
      <w:tr>
        <w:trPr>
          <w:trHeight w:val="340" w:hRule="atLeast"/>
          <w:cantSplit w:val="0"/>
        </w:trPr>
        <w:tc>
          <w:tcPr>
            <w:tcW w:type="dxa" w:w="1814"/>
            <w:vAlign w:val="center"/>
            <w:shd w:fill="D9D9D9"/>
          </w:tcPr>
          <w:p>
            <w:pPr>
              <w:spacing w:line="240" w:lineRule="auto" w:before="0" w:after="0"/>
              <w:jc w:val="center"/>
            </w:pPr>
            <w:r>
              <w:rPr>
                <w:rFonts w:ascii="Calibri" w:hAnsi="Calibri"/>
                <w:b w:val="0"/>
                <w:color w:val="000000"/>
                <w:sz w:val="24"/>
              </w:rPr>
              <w:t>Turma Recursal</w:t>
            </w:r>
          </w:p>
        </w:tc>
        <w:tc>
          <w:tcPr>
            <w:tcW w:type="dxa" w:w="1209"/>
            <w:vAlign w:val="center"/>
            <w:shd w:fill="D9D9D9"/>
          </w:tcPr>
          <w:p>
            <w:pPr>
              <w:spacing w:line="240" w:lineRule="auto" w:before="0" w:after="0"/>
              <w:jc w:val="center"/>
            </w:pPr>
            <w:r>
              <w:rPr>
                <w:rFonts w:ascii="Calibri" w:hAnsi="Calibri"/>
                <w:b w:val="0"/>
                <w:color w:val="000000"/>
                <w:sz w:val="24"/>
              </w:rPr>
              <w:t>56.088</w:t>
            </w:r>
          </w:p>
        </w:tc>
        <w:tc>
          <w:tcPr>
            <w:tcW w:type="dxa" w:w="1209"/>
            <w:vAlign w:val="center"/>
            <w:shd w:fill="D9D9D9"/>
          </w:tcPr>
          <w:p>
            <w:pPr>
              <w:spacing w:line="240" w:lineRule="auto" w:before="0" w:after="0"/>
              <w:jc w:val="center"/>
            </w:pPr>
            <w:r>
              <w:rPr>
                <w:rFonts w:ascii="Calibri" w:hAnsi="Calibri"/>
                <w:b w:val="0"/>
                <w:color w:val="000000"/>
                <w:sz w:val="24"/>
              </w:rPr>
              <w:t>84.268</w:t>
            </w:r>
          </w:p>
        </w:tc>
        <w:tc>
          <w:tcPr>
            <w:tcW w:type="dxa" w:w="1209"/>
            <w:vAlign w:val="center"/>
            <w:shd w:fill="D9D9D9"/>
          </w:tcPr>
          <w:p>
            <w:pPr>
              <w:spacing w:line="240" w:lineRule="auto" w:before="0" w:after="0"/>
              <w:jc w:val="center"/>
            </w:pPr>
            <w:r>
              <w:rPr>
                <w:rFonts w:ascii="Calibri" w:hAnsi="Calibri"/>
                <w:b w:val="0"/>
                <w:color w:val="000000"/>
                <w:sz w:val="24"/>
              </w:rPr>
              <w:t>84.215</w:t>
            </w:r>
          </w:p>
        </w:tc>
        <w:tc>
          <w:tcPr>
            <w:tcW w:type="dxa" w:w="1209"/>
            <w:vAlign w:val="center"/>
            <w:shd w:fill="D9D9D9"/>
          </w:tcPr>
          <w:p>
            <w:pPr>
              <w:spacing w:line="240" w:lineRule="auto" w:before="0" w:after="0"/>
              <w:jc w:val="center"/>
            </w:pPr>
            <w:r>
              <w:rPr>
                <w:rFonts w:ascii="Calibri" w:hAnsi="Calibri"/>
                <w:b w:val="0"/>
                <w:color w:val="000000"/>
                <w:sz w:val="24"/>
              </w:rPr>
              <w:t>93.299</w:t>
            </w:r>
          </w:p>
        </w:tc>
        <w:tc>
          <w:tcPr>
            <w:tcW w:type="dxa" w:w="1209"/>
            <w:vAlign w:val="center"/>
            <w:shd w:fill="D5DCE4"/>
          </w:tcPr>
          <w:p>
            <w:pPr>
              <w:spacing w:line="240" w:lineRule="auto" w:before="0" w:after="0"/>
              <w:jc w:val="center"/>
            </w:pPr>
            <w:r>
              <w:rPr>
                <w:rFonts w:ascii="Calibri" w:hAnsi="Calibri"/>
                <w:b w:val="0"/>
                <w:color w:val="000000"/>
                <w:sz w:val="24"/>
              </w:rPr>
              <w:t>103.728</w:t>
            </w:r>
          </w:p>
        </w:tc>
        <w:tc>
          <w:tcPr>
            <w:tcW w:type="dxa" w:w="1209"/>
            <w:vAlign w:val="center"/>
            <w:shd w:fill="D9D9D9"/>
          </w:tcPr>
          <w:p>
            <w:pPr>
              <w:spacing w:line="240" w:lineRule="auto" w:before="0" w:after="0"/>
              <w:jc w:val="center"/>
            </w:pPr>
            <w:r>
              <w:rPr>
                <w:rFonts w:ascii="Calibri" w:hAnsi="Calibri"/>
                <w:b w:val="0"/>
                <w:color w:val="000000"/>
                <w:sz w:val="24"/>
              </w:rPr>
              <w:t>84.320</w:t>
            </w:r>
          </w:p>
        </w:tc>
      </w:tr>
      <w:tr>
        <w:trPr>
          <w:trHeight w:val="340" w:hRule="atLeast"/>
          <w:cantSplit w:val="0"/>
        </w:trPr>
        <w:tc>
          <w:tcPr>
            <w:tcW w:type="dxa" w:w="1814"/>
            <w:vAlign w:val="center"/>
          </w:tcPr>
          <w:p>
            <w:pPr>
              <w:spacing w:line="240" w:lineRule="auto" w:before="0" w:after="0"/>
              <w:jc w:val="center"/>
            </w:pPr>
            <w:r>
              <w:rPr>
                <w:rFonts w:ascii="Calibri" w:hAnsi="Calibri"/>
                <w:b w:val="0"/>
                <w:color w:val="000000"/>
                <w:sz w:val="24"/>
              </w:rPr>
              <w:t>2º Grau</w:t>
            </w:r>
          </w:p>
        </w:tc>
        <w:tc>
          <w:tcPr>
            <w:tcW w:type="dxa" w:w="1209"/>
            <w:vAlign w:val="center"/>
          </w:tcPr>
          <w:p>
            <w:pPr>
              <w:spacing w:line="240" w:lineRule="auto" w:before="0" w:after="0"/>
              <w:jc w:val="center"/>
            </w:pPr>
            <w:r>
              <w:rPr>
                <w:rFonts w:ascii="Calibri" w:hAnsi="Calibri"/>
                <w:b w:val="0"/>
                <w:color w:val="000000"/>
                <w:sz w:val="24"/>
              </w:rPr>
              <w:t>199.457</w:t>
            </w:r>
          </w:p>
        </w:tc>
        <w:tc>
          <w:tcPr>
            <w:tcW w:type="dxa" w:w="1209"/>
            <w:vAlign w:val="center"/>
          </w:tcPr>
          <w:p>
            <w:pPr>
              <w:spacing w:line="240" w:lineRule="auto" w:before="0" w:after="0"/>
              <w:jc w:val="center"/>
            </w:pPr>
            <w:r>
              <w:rPr>
                <w:rFonts w:ascii="Calibri" w:hAnsi="Calibri"/>
                <w:b w:val="0"/>
                <w:color w:val="000000"/>
                <w:sz w:val="24"/>
              </w:rPr>
              <w:t>222.614</w:t>
            </w:r>
          </w:p>
        </w:tc>
        <w:tc>
          <w:tcPr>
            <w:tcW w:type="dxa" w:w="1209"/>
            <w:vAlign w:val="center"/>
          </w:tcPr>
          <w:p>
            <w:pPr>
              <w:spacing w:line="240" w:lineRule="auto" w:before="0" w:after="0"/>
              <w:jc w:val="center"/>
            </w:pPr>
            <w:r>
              <w:rPr>
                <w:rFonts w:ascii="Calibri" w:hAnsi="Calibri"/>
                <w:b w:val="0"/>
                <w:color w:val="000000"/>
                <w:sz w:val="24"/>
              </w:rPr>
              <w:t>227.760</w:t>
            </w:r>
          </w:p>
        </w:tc>
        <w:tc>
          <w:tcPr>
            <w:tcW w:type="dxa" w:w="1209"/>
            <w:vAlign w:val="center"/>
          </w:tcPr>
          <w:p>
            <w:pPr>
              <w:spacing w:line="240" w:lineRule="auto" w:before="0" w:after="0"/>
              <w:jc w:val="center"/>
            </w:pPr>
            <w:r>
              <w:rPr>
                <w:rFonts w:ascii="Calibri" w:hAnsi="Calibri"/>
                <w:b w:val="0"/>
                <w:color w:val="000000"/>
                <w:sz w:val="24"/>
              </w:rPr>
              <w:t>271.256</w:t>
            </w:r>
          </w:p>
        </w:tc>
        <w:tc>
          <w:tcPr>
            <w:tcW w:type="dxa" w:w="1209"/>
            <w:vAlign w:val="center"/>
            <w:shd w:fill="D5DCE4"/>
          </w:tcPr>
          <w:p>
            <w:pPr>
              <w:spacing w:line="240" w:lineRule="auto" w:before="0" w:after="0"/>
              <w:jc w:val="center"/>
            </w:pPr>
            <w:r>
              <w:rPr>
                <w:rFonts w:ascii="Calibri" w:hAnsi="Calibri"/>
                <w:b w:val="0"/>
                <w:color w:val="000000"/>
                <w:sz w:val="24"/>
              </w:rPr>
              <w:t>334.528</w:t>
            </w:r>
          </w:p>
        </w:tc>
        <w:tc>
          <w:tcPr>
            <w:tcW w:type="dxa" w:w="1209"/>
            <w:vAlign w:val="center"/>
          </w:tcPr>
          <w:p>
            <w:pPr>
              <w:spacing w:line="240" w:lineRule="auto" w:before="0" w:after="0"/>
              <w:jc w:val="center"/>
            </w:pPr>
            <w:r>
              <w:rPr>
                <w:rFonts w:ascii="Calibri" w:hAnsi="Calibri"/>
                <w:b w:val="0"/>
                <w:color w:val="000000"/>
                <w:sz w:val="24"/>
              </w:rPr>
              <w:t>251.123</w:t>
            </w:r>
          </w:p>
        </w:tc>
      </w:tr>
      <w:tr>
        <w:trPr>
          <w:trHeight w:val="340" w:hRule="atLeast"/>
          <w:cantSplit w:val="0"/>
        </w:trPr>
        <w:tc>
          <w:tcPr>
            <w:tcW w:type="dxa" w:w="1814"/>
            <w:vAlign w:val="center"/>
            <w:shd w:fill="D9D9D9"/>
          </w:tcPr>
          <w:p>
            <w:pPr>
              <w:spacing w:line="240" w:lineRule="auto" w:before="0" w:after="0"/>
              <w:jc w:val="center"/>
            </w:pPr>
            <w:r>
              <w:rPr>
                <w:rFonts w:ascii="Calibri" w:hAnsi="Calibri"/>
                <w:b/>
                <w:color w:val="000000"/>
                <w:sz w:val="24"/>
              </w:rPr>
              <w:t>Total</w:t>
            </w:r>
          </w:p>
        </w:tc>
        <w:tc>
          <w:tcPr>
            <w:tcW w:type="dxa" w:w="1209"/>
            <w:vAlign w:val="center"/>
            <w:shd w:fill="D9D9D9"/>
          </w:tcPr>
          <w:p>
            <w:pPr>
              <w:spacing w:line="240" w:lineRule="auto" w:before="0" w:after="0"/>
              <w:jc w:val="center"/>
            </w:pPr>
            <w:r>
              <w:rPr>
                <w:rFonts w:ascii="Calibri" w:hAnsi="Calibri"/>
                <w:b/>
                <w:color w:val="000000"/>
                <w:sz w:val="24"/>
              </w:rPr>
              <w:t>1.981.548</w:t>
            </w:r>
          </w:p>
        </w:tc>
        <w:tc>
          <w:tcPr>
            <w:tcW w:type="dxa" w:w="1209"/>
            <w:vAlign w:val="center"/>
            <w:shd w:fill="D9D9D9"/>
          </w:tcPr>
          <w:p>
            <w:pPr>
              <w:spacing w:line="240" w:lineRule="auto" w:before="0" w:after="0"/>
              <w:jc w:val="center"/>
            </w:pPr>
            <w:r>
              <w:rPr>
                <w:rFonts w:ascii="Calibri" w:hAnsi="Calibri"/>
                <w:b/>
                <w:color w:val="000000"/>
                <w:sz w:val="24"/>
              </w:rPr>
              <w:t>2.209.603</w:t>
            </w:r>
          </w:p>
        </w:tc>
        <w:tc>
          <w:tcPr>
            <w:tcW w:type="dxa" w:w="1209"/>
            <w:vAlign w:val="center"/>
            <w:shd w:fill="D9D9D9"/>
          </w:tcPr>
          <w:p>
            <w:pPr>
              <w:spacing w:line="240" w:lineRule="auto" w:before="0" w:after="0"/>
              <w:jc w:val="center"/>
            </w:pPr>
            <w:r>
              <w:rPr>
                <w:rFonts w:ascii="Calibri" w:hAnsi="Calibri"/>
                <w:b/>
                <w:color w:val="000000"/>
                <w:sz w:val="24"/>
              </w:rPr>
              <w:t>2.436.298</w:t>
            </w:r>
          </w:p>
        </w:tc>
        <w:tc>
          <w:tcPr>
            <w:tcW w:type="dxa" w:w="1209"/>
            <w:vAlign w:val="center"/>
            <w:shd w:fill="D9D9D9"/>
          </w:tcPr>
          <w:p>
            <w:pPr>
              <w:spacing w:line="240" w:lineRule="auto" w:before="0" w:after="0"/>
              <w:jc w:val="center"/>
            </w:pPr>
            <w:r>
              <w:rPr>
                <w:rFonts w:ascii="Calibri" w:hAnsi="Calibri"/>
                <w:b/>
                <w:color w:val="000000"/>
                <w:sz w:val="24"/>
              </w:rPr>
              <w:t>2.697.391</w:t>
            </w:r>
          </w:p>
        </w:tc>
        <w:tc>
          <w:tcPr>
            <w:tcW w:type="dxa" w:w="1209"/>
            <w:vAlign w:val="center"/>
            <w:shd w:fill="D5DCE4"/>
          </w:tcPr>
          <w:p>
            <w:pPr>
              <w:spacing w:line="240" w:lineRule="auto" w:before="0" w:after="0"/>
              <w:jc w:val="center"/>
            </w:pPr>
            <w:r>
              <w:rPr>
                <w:rFonts w:ascii="Calibri" w:hAnsi="Calibri"/>
                <w:b/>
                <w:color w:val="000000"/>
                <w:sz w:val="24"/>
              </w:rPr>
              <w:t>2.775.298</w:t>
            </w:r>
          </w:p>
        </w:tc>
        <w:tc>
          <w:tcPr>
            <w:tcW w:type="dxa" w:w="1209"/>
            <w:vAlign w:val="center"/>
            <w:shd w:fill="D9D9D9"/>
          </w:tcPr>
          <w:p>
            <w:pPr>
              <w:spacing w:line="240" w:lineRule="auto" w:before="0" w:after="0"/>
              <w:jc w:val="center"/>
            </w:pPr>
            <w:r>
              <w:rPr>
                <w:rFonts w:ascii="Calibri" w:hAnsi="Calibri"/>
                <w:b/>
                <w:color w:val="000000"/>
                <w:sz w:val="24"/>
              </w:rPr>
              <w:t>2.420.028</w:t>
            </w:r>
          </w:p>
        </w:tc>
      </w:tr>
    </w:tbl>
    <w:p>
      <w:pPr>
        <w:spacing w:before="120" w:after="600"/>
        <w:jc w:val="left"/>
      </w:pPr>
      <w:r>
        <w:rPr>
          <w:rFonts w:ascii="Calibri" w:hAnsi="Calibri"/>
          <w:b w:val="0"/>
          <w:sz w:val="16"/>
        </w:rPr>
        <w:t>Tabela 06 - Número de processos distribuídos. Fonte: Centro de Informações para a Gestão Institucional – CEINFO</w:t>
      </w:r>
    </w:p>
    <w:tbl>
      <w:tblPr>
        <w:tblW w:type="auto" w:w="0"/>
        <w:tblLook w:firstColumn="1" w:firstRow="1" w:lastColumn="0" w:lastRow="0" w:noHBand="0" w:noVBand="1" w:val="04A0"/>
      </w:tblPr>
      <w:tblGrid>
        <w:gridCol w:w="1814"/>
        <w:gridCol w:w="1209"/>
        <w:gridCol w:w="1209"/>
        <w:gridCol w:w="1209"/>
        <w:gridCol w:w="1209"/>
        <w:gridCol w:w="1209"/>
        <w:gridCol w:w="1209"/>
      </w:tblGrid>
      <w:tr>
        <w:trPr>
          <w:trHeight w:val="340" w:hRule="atLeast"/>
          <w:tblHeader/>
        </w:trPr>
        <w:tc>
          <w:tcPr>
            <w:tcW w:type="dxa" w:w="9068"/>
            <w:gridSpan w:val="7"/>
            <w:shd w:fill="7F7F7F"/>
            <w:vAlign w:val="center"/>
          </w:tcPr>
          <w:p>
            <w:pPr>
              <w:jc w:val="center"/>
            </w:pPr>
            <w:r>
              <w:rPr>
                <w:rFonts w:ascii="Calibri" w:hAnsi="Calibri"/>
                <w:b/>
                <w:color w:val="FFFFFF"/>
                <w:sz w:val="24"/>
              </w:rPr>
              <w:t>JULGAMENTOS</w:t>
            </w:r>
          </w:p>
        </w:tc>
      </w:tr>
      <w:tr>
        <w:trPr>
          <w:trHeight w:val="340" w:hRule="atLeast"/>
          <w:tblHeader/>
        </w:trPr>
        <w:tc>
          <w:tcPr>
            <w:tcW w:type="dxa" w:w="1814"/>
            <w:vAlign w:val="center"/>
            <w:tcBorders>
              <w:bottom w:val="single" w:sz="4" w:color="000000"/>
            </w:tcBorders>
          </w:tcPr>
          <w:p>
            <w:pPr>
              <w:jc w:val="center"/>
            </w:pPr>
            <w:r>
              <w:rPr>
                <w:rFonts w:ascii="Calibri" w:hAnsi="Calibri"/>
                <w:b/>
                <w:color w:val="000000"/>
                <w:sz w:val="24"/>
              </w:rPr>
              <w:t>Instância</w:t>
            </w:r>
          </w:p>
        </w:tc>
        <w:tc>
          <w:tcPr>
            <w:tcW w:type="dxa" w:w="1209"/>
            <w:vAlign w:val="center"/>
            <w:tcBorders>
              <w:bottom w:val="single" w:sz="4" w:color="000000"/>
            </w:tcBorders>
          </w:tcPr>
          <w:p>
            <w:pPr>
              <w:jc w:val="center"/>
            </w:pPr>
            <w:r>
              <w:rPr>
                <w:rFonts w:ascii="Calibri" w:hAnsi="Calibri"/>
                <w:b/>
                <w:color w:val="000000"/>
                <w:sz w:val="24"/>
              </w:rPr>
              <w:t>2020</w:t>
            </w:r>
          </w:p>
        </w:tc>
        <w:tc>
          <w:tcPr>
            <w:tcW w:type="dxa" w:w="1209"/>
            <w:vAlign w:val="center"/>
            <w:tcBorders>
              <w:bottom w:val="single" w:sz="4" w:color="000000"/>
            </w:tcBorders>
          </w:tcPr>
          <w:p>
            <w:pPr>
              <w:jc w:val="center"/>
            </w:pPr>
            <w:r>
              <w:rPr>
                <w:rFonts w:ascii="Calibri" w:hAnsi="Calibri"/>
                <w:b/>
                <w:color w:val="000000"/>
                <w:sz w:val="24"/>
              </w:rPr>
              <w:t>2021</w:t>
            </w:r>
          </w:p>
        </w:tc>
        <w:tc>
          <w:tcPr>
            <w:tcW w:type="dxa" w:w="1209"/>
            <w:vAlign w:val="center"/>
            <w:tcBorders>
              <w:bottom w:val="single" w:sz="4" w:color="000000"/>
            </w:tcBorders>
          </w:tcPr>
          <w:p>
            <w:pPr>
              <w:jc w:val="center"/>
            </w:pPr>
            <w:r>
              <w:rPr>
                <w:rFonts w:ascii="Calibri" w:hAnsi="Calibri"/>
                <w:b/>
                <w:color w:val="000000"/>
                <w:sz w:val="24"/>
              </w:rPr>
              <w:t>2022</w:t>
            </w:r>
          </w:p>
        </w:tc>
        <w:tc>
          <w:tcPr>
            <w:tcW w:type="dxa" w:w="1209"/>
            <w:vAlign w:val="center"/>
            <w:tcBorders>
              <w:bottom w:val="single" w:sz="4" w:color="000000"/>
            </w:tcBorders>
          </w:tcPr>
          <w:p>
            <w:pPr>
              <w:jc w:val="center"/>
            </w:pPr>
            <w:r>
              <w:rPr>
                <w:rFonts w:ascii="Calibri" w:hAnsi="Calibri"/>
                <w:b/>
                <w:color w:val="000000"/>
                <w:sz w:val="24"/>
              </w:rPr>
              <w:t>2023</w:t>
            </w:r>
          </w:p>
        </w:tc>
        <w:tc>
          <w:tcPr>
            <w:tcW w:type="dxa" w:w="1209"/>
            <w:vAlign w:val="center"/>
            <w:shd w:fill="44546A"/>
            <w:tcBorders>
              <w:bottom w:val="single" w:sz="4" w:color="000000"/>
            </w:tcBorders>
          </w:tcPr>
          <w:p>
            <w:pPr>
              <w:jc w:val="center"/>
            </w:pPr>
            <w:r>
              <w:rPr>
                <w:rFonts w:ascii="Calibri" w:hAnsi="Calibri"/>
                <w:b/>
                <w:color w:val="FFFFFF"/>
                <w:sz w:val="24"/>
              </w:rPr>
              <w:t>2024</w:t>
            </w:r>
          </w:p>
        </w:tc>
        <w:tc>
          <w:tcPr>
            <w:tcW w:type="dxa" w:w="1209"/>
            <w:vAlign w:val="center"/>
            <w:tcBorders>
              <w:bottom w:val="single" w:sz="4" w:color="000000"/>
            </w:tcBorders>
          </w:tcPr>
          <w:p>
            <w:pPr>
              <w:jc w:val="center"/>
            </w:pPr>
            <w:r>
              <w:rPr>
                <w:rFonts w:ascii="Calibri" w:hAnsi="Calibri"/>
                <w:b/>
                <w:color w:val="000000"/>
                <w:sz w:val="24"/>
              </w:rPr>
              <w:t>Média</w:t>
            </w:r>
          </w:p>
        </w:tc>
      </w:tr>
      <w:tr>
        <w:trPr>
          <w:trHeight w:val="340" w:hRule="atLeast"/>
          <w:cantSplit w:val="0"/>
        </w:trPr>
        <w:tc>
          <w:tcPr>
            <w:tcW w:type="dxa" w:w="1814"/>
            <w:vAlign w:val="center"/>
            <w:shd w:fill="D9D9D9"/>
          </w:tcPr>
          <w:p>
            <w:pPr>
              <w:spacing w:line="240" w:lineRule="auto" w:before="0" w:after="0"/>
              <w:jc w:val="center"/>
            </w:pPr>
            <w:r>
              <w:rPr>
                <w:rFonts w:ascii="Calibri" w:hAnsi="Calibri"/>
                <w:b w:val="0"/>
                <w:color w:val="000000"/>
                <w:sz w:val="24"/>
              </w:rPr>
              <w:t>Justiça Comum</w:t>
            </w:r>
          </w:p>
        </w:tc>
        <w:tc>
          <w:tcPr>
            <w:tcW w:type="dxa" w:w="1209"/>
            <w:vAlign w:val="center"/>
            <w:shd w:fill="D9D9D9"/>
          </w:tcPr>
          <w:p>
            <w:pPr>
              <w:spacing w:line="240" w:lineRule="auto" w:before="0" w:after="0"/>
              <w:jc w:val="center"/>
            </w:pPr>
            <w:r>
              <w:rPr>
                <w:rFonts w:ascii="Calibri" w:hAnsi="Calibri"/>
                <w:b w:val="0"/>
                <w:color w:val="000000"/>
                <w:sz w:val="24"/>
              </w:rPr>
              <w:t>878.705</w:t>
            </w:r>
          </w:p>
        </w:tc>
        <w:tc>
          <w:tcPr>
            <w:tcW w:type="dxa" w:w="1209"/>
            <w:vAlign w:val="center"/>
            <w:shd w:fill="D9D9D9"/>
          </w:tcPr>
          <w:p>
            <w:pPr>
              <w:spacing w:line="240" w:lineRule="auto" w:before="0" w:after="0"/>
              <w:jc w:val="center"/>
            </w:pPr>
            <w:r>
              <w:rPr>
                <w:rFonts w:ascii="Calibri" w:hAnsi="Calibri"/>
                <w:b w:val="0"/>
                <w:color w:val="000000"/>
                <w:sz w:val="24"/>
              </w:rPr>
              <w:t>1.015.223</w:t>
            </w:r>
          </w:p>
        </w:tc>
        <w:tc>
          <w:tcPr>
            <w:tcW w:type="dxa" w:w="1209"/>
            <w:vAlign w:val="center"/>
            <w:shd w:fill="D9D9D9"/>
          </w:tcPr>
          <w:p>
            <w:pPr>
              <w:spacing w:line="240" w:lineRule="auto" w:before="0" w:after="0"/>
              <w:jc w:val="center"/>
            </w:pPr>
            <w:r>
              <w:rPr>
                <w:rFonts w:ascii="Calibri" w:hAnsi="Calibri"/>
                <w:b w:val="0"/>
                <w:color w:val="000000"/>
                <w:sz w:val="24"/>
              </w:rPr>
              <w:t>1.185.589</w:t>
            </w:r>
          </w:p>
        </w:tc>
        <w:tc>
          <w:tcPr>
            <w:tcW w:type="dxa" w:w="1209"/>
            <w:vAlign w:val="center"/>
            <w:shd w:fill="D9D9D9"/>
          </w:tcPr>
          <w:p>
            <w:pPr>
              <w:spacing w:line="240" w:lineRule="auto" w:before="0" w:after="0"/>
              <w:jc w:val="center"/>
            </w:pPr>
            <w:r>
              <w:rPr>
                <w:rFonts w:ascii="Calibri" w:hAnsi="Calibri"/>
                <w:b w:val="0"/>
                <w:color w:val="000000"/>
                <w:sz w:val="24"/>
              </w:rPr>
              <w:t>1.320.950</w:t>
            </w:r>
          </w:p>
        </w:tc>
        <w:tc>
          <w:tcPr>
            <w:tcW w:type="dxa" w:w="1209"/>
            <w:vAlign w:val="center"/>
            <w:shd w:fill="D5DCE4"/>
          </w:tcPr>
          <w:p>
            <w:pPr>
              <w:spacing w:line="240" w:lineRule="auto" w:before="0" w:after="0"/>
              <w:jc w:val="center"/>
            </w:pPr>
            <w:r>
              <w:rPr>
                <w:rFonts w:ascii="Calibri" w:hAnsi="Calibri"/>
                <w:b w:val="0"/>
                <w:color w:val="000000"/>
                <w:sz w:val="24"/>
              </w:rPr>
              <w:t>1.412.397</w:t>
            </w:r>
          </w:p>
        </w:tc>
        <w:tc>
          <w:tcPr>
            <w:tcW w:type="dxa" w:w="1209"/>
            <w:vAlign w:val="center"/>
            <w:shd w:fill="D9D9D9"/>
          </w:tcPr>
          <w:p>
            <w:pPr>
              <w:spacing w:line="240" w:lineRule="auto" w:before="0" w:after="0"/>
              <w:jc w:val="center"/>
            </w:pPr>
            <w:r>
              <w:rPr>
                <w:rFonts w:ascii="Calibri" w:hAnsi="Calibri"/>
                <w:b w:val="0"/>
                <w:color w:val="000000"/>
                <w:sz w:val="24"/>
              </w:rPr>
              <w:t>1.162.573</w:t>
            </w:r>
          </w:p>
        </w:tc>
      </w:tr>
      <w:tr>
        <w:trPr>
          <w:trHeight w:val="340" w:hRule="atLeast"/>
          <w:cantSplit w:val="0"/>
        </w:trPr>
        <w:tc>
          <w:tcPr>
            <w:tcW w:type="dxa" w:w="1814"/>
            <w:vAlign w:val="center"/>
          </w:tcPr>
          <w:p>
            <w:pPr>
              <w:spacing w:line="240" w:lineRule="auto" w:before="0" w:after="0"/>
              <w:jc w:val="center"/>
            </w:pPr>
            <w:r>
              <w:rPr>
                <w:rFonts w:ascii="Calibri" w:hAnsi="Calibri"/>
                <w:b w:val="0"/>
                <w:color w:val="000000"/>
                <w:sz w:val="24"/>
              </w:rPr>
              <w:t>Juizado Especial</w:t>
            </w:r>
          </w:p>
        </w:tc>
        <w:tc>
          <w:tcPr>
            <w:tcW w:type="dxa" w:w="1209"/>
            <w:vAlign w:val="center"/>
          </w:tcPr>
          <w:p>
            <w:pPr>
              <w:spacing w:line="240" w:lineRule="auto" w:before="0" w:after="0"/>
              <w:jc w:val="center"/>
            </w:pPr>
            <w:r>
              <w:rPr>
                <w:rFonts w:ascii="Calibri" w:hAnsi="Calibri"/>
                <w:b w:val="0"/>
                <w:color w:val="000000"/>
                <w:sz w:val="24"/>
              </w:rPr>
              <w:t>460.286</w:t>
            </w:r>
          </w:p>
        </w:tc>
        <w:tc>
          <w:tcPr>
            <w:tcW w:type="dxa" w:w="1209"/>
            <w:vAlign w:val="center"/>
          </w:tcPr>
          <w:p>
            <w:pPr>
              <w:spacing w:line="240" w:lineRule="auto" w:before="0" w:after="0"/>
              <w:jc w:val="center"/>
            </w:pPr>
            <w:r>
              <w:rPr>
                <w:rFonts w:ascii="Calibri" w:hAnsi="Calibri"/>
                <w:b w:val="0"/>
                <w:color w:val="000000"/>
                <w:sz w:val="24"/>
              </w:rPr>
              <w:t>636.208</w:t>
            </w:r>
          </w:p>
        </w:tc>
        <w:tc>
          <w:tcPr>
            <w:tcW w:type="dxa" w:w="1209"/>
            <w:vAlign w:val="center"/>
          </w:tcPr>
          <w:p>
            <w:pPr>
              <w:spacing w:line="240" w:lineRule="auto" w:before="0" w:after="0"/>
              <w:jc w:val="center"/>
            </w:pPr>
            <w:r>
              <w:rPr>
                <w:rFonts w:ascii="Calibri" w:hAnsi="Calibri"/>
                <w:b w:val="0"/>
                <w:color w:val="000000"/>
                <w:sz w:val="24"/>
              </w:rPr>
              <w:t>810.834</w:t>
            </w:r>
          </w:p>
        </w:tc>
        <w:tc>
          <w:tcPr>
            <w:tcW w:type="dxa" w:w="1209"/>
            <w:vAlign w:val="center"/>
          </w:tcPr>
          <w:p>
            <w:pPr>
              <w:spacing w:line="240" w:lineRule="auto" w:before="0" w:after="0"/>
              <w:jc w:val="center"/>
            </w:pPr>
            <w:r>
              <w:rPr>
                <w:rFonts w:ascii="Calibri" w:hAnsi="Calibri"/>
                <w:b w:val="0"/>
                <w:color w:val="000000"/>
                <w:sz w:val="24"/>
              </w:rPr>
              <w:t>932.469</w:t>
            </w:r>
          </w:p>
        </w:tc>
        <w:tc>
          <w:tcPr>
            <w:tcW w:type="dxa" w:w="1209"/>
            <w:vAlign w:val="center"/>
            <w:shd w:fill="D5DCE4"/>
          </w:tcPr>
          <w:p>
            <w:pPr>
              <w:spacing w:line="240" w:lineRule="auto" w:before="0" w:after="0"/>
              <w:jc w:val="center"/>
            </w:pPr>
            <w:r>
              <w:rPr>
                <w:rFonts w:ascii="Calibri" w:hAnsi="Calibri"/>
                <w:b w:val="0"/>
                <w:color w:val="000000"/>
                <w:sz w:val="24"/>
              </w:rPr>
              <w:t>920.189</w:t>
            </w:r>
          </w:p>
        </w:tc>
        <w:tc>
          <w:tcPr>
            <w:tcW w:type="dxa" w:w="1209"/>
            <w:vAlign w:val="center"/>
          </w:tcPr>
          <w:p>
            <w:pPr>
              <w:spacing w:line="240" w:lineRule="auto" w:before="0" w:after="0"/>
              <w:jc w:val="center"/>
            </w:pPr>
            <w:r>
              <w:rPr>
                <w:rFonts w:ascii="Calibri" w:hAnsi="Calibri"/>
                <w:b w:val="0"/>
                <w:color w:val="000000"/>
                <w:sz w:val="24"/>
              </w:rPr>
              <w:t>751.997</w:t>
            </w:r>
          </w:p>
        </w:tc>
      </w:tr>
      <w:tr>
        <w:trPr>
          <w:trHeight w:val="340" w:hRule="atLeast"/>
          <w:cantSplit w:val="0"/>
        </w:trPr>
        <w:tc>
          <w:tcPr>
            <w:tcW w:type="dxa" w:w="1814"/>
            <w:vAlign w:val="center"/>
            <w:shd w:fill="D9D9D9"/>
          </w:tcPr>
          <w:p>
            <w:pPr>
              <w:spacing w:line="240" w:lineRule="auto" w:before="0" w:after="0"/>
              <w:jc w:val="center"/>
            </w:pPr>
            <w:r>
              <w:rPr>
                <w:rFonts w:ascii="Calibri" w:hAnsi="Calibri"/>
                <w:b w:val="0"/>
                <w:color w:val="000000"/>
                <w:sz w:val="24"/>
              </w:rPr>
              <w:t>Turma Recursal</w:t>
            </w:r>
          </w:p>
        </w:tc>
        <w:tc>
          <w:tcPr>
            <w:tcW w:type="dxa" w:w="1209"/>
            <w:vAlign w:val="center"/>
            <w:shd w:fill="D9D9D9"/>
          </w:tcPr>
          <w:p>
            <w:pPr>
              <w:spacing w:line="240" w:lineRule="auto" w:before="0" w:after="0"/>
              <w:jc w:val="center"/>
            </w:pPr>
            <w:r>
              <w:rPr>
                <w:rFonts w:ascii="Calibri" w:hAnsi="Calibri"/>
                <w:b w:val="0"/>
                <w:color w:val="000000"/>
                <w:sz w:val="24"/>
              </w:rPr>
              <w:t>878.705</w:t>
            </w:r>
          </w:p>
        </w:tc>
        <w:tc>
          <w:tcPr>
            <w:tcW w:type="dxa" w:w="1209"/>
            <w:vAlign w:val="center"/>
            <w:shd w:fill="D9D9D9"/>
          </w:tcPr>
          <w:p>
            <w:pPr>
              <w:spacing w:line="240" w:lineRule="auto" w:before="0" w:after="0"/>
              <w:jc w:val="center"/>
            </w:pPr>
            <w:r>
              <w:rPr>
                <w:rFonts w:ascii="Calibri" w:hAnsi="Calibri"/>
                <w:b w:val="0"/>
                <w:color w:val="000000"/>
                <w:sz w:val="24"/>
              </w:rPr>
              <w:t>67.797</w:t>
            </w:r>
          </w:p>
        </w:tc>
        <w:tc>
          <w:tcPr>
            <w:tcW w:type="dxa" w:w="1209"/>
            <w:vAlign w:val="center"/>
            <w:shd w:fill="D9D9D9"/>
          </w:tcPr>
          <w:p>
            <w:pPr>
              <w:spacing w:line="240" w:lineRule="auto" w:before="0" w:after="0"/>
              <w:jc w:val="center"/>
            </w:pPr>
            <w:r>
              <w:rPr>
                <w:rFonts w:ascii="Calibri" w:hAnsi="Calibri"/>
                <w:b w:val="0"/>
                <w:color w:val="000000"/>
                <w:sz w:val="24"/>
              </w:rPr>
              <w:t>77.926</w:t>
            </w:r>
          </w:p>
        </w:tc>
        <w:tc>
          <w:tcPr>
            <w:tcW w:type="dxa" w:w="1209"/>
            <w:vAlign w:val="center"/>
            <w:shd w:fill="D9D9D9"/>
          </w:tcPr>
          <w:p>
            <w:pPr>
              <w:spacing w:line="240" w:lineRule="auto" w:before="0" w:after="0"/>
              <w:jc w:val="center"/>
            </w:pPr>
            <w:r>
              <w:rPr>
                <w:rFonts w:ascii="Calibri" w:hAnsi="Calibri"/>
                <w:b w:val="0"/>
                <w:color w:val="000000"/>
                <w:sz w:val="24"/>
              </w:rPr>
              <w:t>105.764</w:t>
            </w:r>
          </w:p>
        </w:tc>
        <w:tc>
          <w:tcPr>
            <w:tcW w:type="dxa" w:w="1209"/>
            <w:vAlign w:val="center"/>
            <w:shd w:fill="D5DCE4"/>
          </w:tcPr>
          <w:p>
            <w:pPr>
              <w:spacing w:line="240" w:lineRule="auto" w:before="0" w:after="0"/>
              <w:jc w:val="center"/>
            </w:pPr>
            <w:r>
              <w:rPr>
                <w:rFonts w:ascii="Calibri" w:hAnsi="Calibri"/>
                <w:b w:val="0"/>
                <w:color w:val="000000"/>
                <w:sz w:val="24"/>
              </w:rPr>
              <w:t>117.904</w:t>
            </w:r>
          </w:p>
        </w:tc>
        <w:tc>
          <w:tcPr>
            <w:tcW w:type="dxa" w:w="1209"/>
            <w:vAlign w:val="center"/>
            <w:shd w:fill="D9D9D9"/>
          </w:tcPr>
          <w:p>
            <w:pPr>
              <w:spacing w:line="240" w:lineRule="auto" w:before="0" w:after="0"/>
              <w:jc w:val="center"/>
            </w:pPr>
            <w:r>
              <w:rPr>
                <w:rFonts w:ascii="Calibri" w:hAnsi="Calibri"/>
                <w:b w:val="0"/>
                <w:color w:val="000000"/>
                <w:sz w:val="24"/>
              </w:rPr>
              <w:t>249.619</w:t>
            </w:r>
          </w:p>
        </w:tc>
      </w:tr>
      <w:tr>
        <w:trPr>
          <w:trHeight w:val="340" w:hRule="atLeast"/>
          <w:cantSplit w:val="0"/>
        </w:trPr>
        <w:tc>
          <w:tcPr>
            <w:tcW w:type="dxa" w:w="1814"/>
            <w:vAlign w:val="center"/>
          </w:tcPr>
          <w:p>
            <w:pPr>
              <w:spacing w:line="240" w:lineRule="auto" w:before="0" w:after="0"/>
              <w:jc w:val="center"/>
            </w:pPr>
            <w:r>
              <w:rPr>
                <w:rFonts w:ascii="Calibri" w:hAnsi="Calibri"/>
                <w:b w:val="0"/>
                <w:color w:val="000000"/>
                <w:sz w:val="24"/>
              </w:rPr>
              <w:t>2º Grau</w:t>
            </w:r>
          </w:p>
        </w:tc>
        <w:tc>
          <w:tcPr>
            <w:tcW w:type="dxa" w:w="1209"/>
            <w:vAlign w:val="center"/>
          </w:tcPr>
          <w:p>
            <w:pPr>
              <w:spacing w:line="240" w:lineRule="auto" w:before="0" w:after="0"/>
              <w:jc w:val="center"/>
            </w:pPr>
            <w:r>
              <w:rPr>
                <w:rFonts w:ascii="Calibri" w:hAnsi="Calibri"/>
                <w:b w:val="0"/>
                <w:color w:val="000000"/>
                <w:sz w:val="24"/>
              </w:rPr>
              <w:t>52.746</w:t>
            </w:r>
          </w:p>
        </w:tc>
        <w:tc>
          <w:tcPr>
            <w:tcW w:type="dxa" w:w="1209"/>
            <w:vAlign w:val="center"/>
          </w:tcPr>
          <w:p>
            <w:pPr>
              <w:spacing w:line="240" w:lineRule="auto" w:before="0" w:after="0"/>
              <w:jc w:val="center"/>
            </w:pPr>
            <w:r>
              <w:rPr>
                <w:rFonts w:ascii="Calibri" w:hAnsi="Calibri"/>
                <w:b w:val="0"/>
                <w:color w:val="000000"/>
                <w:sz w:val="24"/>
              </w:rPr>
              <w:t>225.454</w:t>
            </w:r>
          </w:p>
        </w:tc>
        <w:tc>
          <w:tcPr>
            <w:tcW w:type="dxa" w:w="1209"/>
            <w:vAlign w:val="center"/>
          </w:tcPr>
          <w:p>
            <w:pPr>
              <w:spacing w:line="240" w:lineRule="auto" w:before="0" w:after="0"/>
              <w:jc w:val="center"/>
            </w:pPr>
            <w:r>
              <w:rPr>
                <w:rFonts w:ascii="Calibri" w:hAnsi="Calibri"/>
                <w:b w:val="0"/>
                <w:color w:val="000000"/>
                <w:sz w:val="24"/>
              </w:rPr>
              <w:t>236.418</w:t>
            </w:r>
          </w:p>
        </w:tc>
        <w:tc>
          <w:tcPr>
            <w:tcW w:type="dxa" w:w="1209"/>
            <w:vAlign w:val="center"/>
          </w:tcPr>
          <w:p>
            <w:pPr>
              <w:spacing w:line="240" w:lineRule="auto" w:before="0" w:after="0"/>
              <w:jc w:val="center"/>
            </w:pPr>
            <w:r>
              <w:rPr>
                <w:rFonts w:ascii="Calibri" w:hAnsi="Calibri"/>
                <w:b w:val="0"/>
                <w:color w:val="000000"/>
                <w:sz w:val="24"/>
              </w:rPr>
              <w:t>275.286</w:t>
            </w:r>
          </w:p>
        </w:tc>
        <w:tc>
          <w:tcPr>
            <w:tcW w:type="dxa" w:w="1209"/>
            <w:vAlign w:val="center"/>
            <w:shd w:fill="D5DCE4"/>
          </w:tcPr>
          <w:p>
            <w:pPr>
              <w:spacing w:line="240" w:lineRule="auto" w:before="0" w:after="0"/>
              <w:jc w:val="center"/>
            </w:pPr>
            <w:r>
              <w:rPr>
                <w:rFonts w:ascii="Calibri" w:hAnsi="Calibri"/>
                <w:b w:val="0"/>
                <w:color w:val="000000"/>
                <w:sz w:val="24"/>
              </w:rPr>
              <w:t>337.993</w:t>
            </w:r>
          </w:p>
        </w:tc>
        <w:tc>
          <w:tcPr>
            <w:tcW w:type="dxa" w:w="1209"/>
            <w:vAlign w:val="center"/>
          </w:tcPr>
          <w:p>
            <w:pPr>
              <w:spacing w:line="240" w:lineRule="auto" w:before="0" w:after="0"/>
              <w:jc w:val="center"/>
            </w:pPr>
            <w:r>
              <w:rPr>
                <w:rFonts w:ascii="Calibri" w:hAnsi="Calibri"/>
                <w:b w:val="0"/>
                <w:color w:val="000000"/>
                <w:sz w:val="24"/>
              </w:rPr>
              <w:t>225.579</w:t>
            </w:r>
          </w:p>
        </w:tc>
      </w:tr>
      <w:tr>
        <w:trPr>
          <w:trHeight w:val="340" w:hRule="atLeast"/>
          <w:cantSplit w:val="0"/>
        </w:trPr>
        <w:tc>
          <w:tcPr>
            <w:tcW w:type="dxa" w:w="1814"/>
            <w:vAlign w:val="center"/>
            <w:shd w:fill="D9D9D9"/>
          </w:tcPr>
          <w:p>
            <w:pPr>
              <w:spacing w:line="240" w:lineRule="auto" w:before="0" w:after="0"/>
              <w:jc w:val="center"/>
            </w:pPr>
            <w:r>
              <w:rPr>
                <w:rFonts w:ascii="Calibri" w:hAnsi="Calibri"/>
                <w:b/>
                <w:color w:val="000000"/>
                <w:sz w:val="24"/>
              </w:rPr>
              <w:t>Total</w:t>
            </w:r>
          </w:p>
        </w:tc>
        <w:tc>
          <w:tcPr>
            <w:tcW w:type="dxa" w:w="1209"/>
            <w:vAlign w:val="center"/>
            <w:shd w:fill="D9D9D9"/>
          </w:tcPr>
          <w:p>
            <w:pPr>
              <w:spacing w:line="240" w:lineRule="auto" w:before="0" w:after="0"/>
              <w:jc w:val="center"/>
            </w:pPr>
            <w:r>
              <w:rPr>
                <w:rFonts w:ascii="Calibri" w:hAnsi="Calibri"/>
                <w:b/>
                <w:color w:val="000000"/>
                <w:sz w:val="24"/>
              </w:rPr>
              <w:t>2.270.442</w:t>
            </w:r>
          </w:p>
        </w:tc>
        <w:tc>
          <w:tcPr>
            <w:tcW w:type="dxa" w:w="1209"/>
            <w:vAlign w:val="center"/>
            <w:shd w:fill="D9D9D9"/>
          </w:tcPr>
          <w:p>
            <w:pPr>
              <w:spacing w:line="240" w:lineRule="auto" w:before="0" w:after="0"/>
              <w:jc w:val="center"/>
            </w:pPr>
            <w:r>
              <w:rPr>
                <w:rFonts w:ascii="Calibri" w:hAnsi="Calibri"/>
                <w:b/>
                <w:color w:val="000000"/>
                <w:sz w:val="24"/>
              </w:rPr>
              <w:t>1.944.682</w:t>
            </w:r>
          </w:p>
        </w:tc>
        <w:tc>
          <w:tcPr>
            <w:tcW w:type="dxa" w:w="1209"/>
            <w:vAlign w:val="center"/>
            <w:shd w:fill="D9D9D9"/>
          </w:tcPr>
          <w:p>
            <w:pPr>
              <w:spacing w:line="240" w:lineRule="auto" w:before="0" w:after="0"/>
              <w:jc w:val="center"/>
            </w:pPr>
            <w:r>
              <w:rPr>
                <w:rFonts w:ascii="Calibri" w:hAnsi="Calibri"/>
                <w:b/>
                <w:color w:val="000000"/>
                <w:sz w:val="24"/>
              </w:rPr>
              <w:t>2.310.767</w:t>
            </w:r>
          </w:p>
        </w:tc>
        <w:tc>
          <w:tcPr>
            <w:tcW w:type="dxa" w:w="1209"/>
            <w:vAlign w:val="center"/>
            <w:shd w:fill="D9D9D9"/>
          </w:tcPr>
          <w:p>
            <w:pPr>
              <w:spacing w:line="240" w:lineRule="auto" w:before="0" w:after="0"/>
              <w:jc w:val="center"/>
            </w:pPr>
            <w:r>
              <w:rPr>
                <w:rFonts w:ascii="Calibri" w:hAnsi="Calibri"/>
                <w:b/>
                <w:color w:val="000000"/>
                <w:sz w:val="24"/>
              </w:rPr>
              <w:t>2.634.469</w:t>
            </w:r>
          </w:p>
        </w:tc>
        <w:tc>
          <w:tcPr>
            <w:tcW w:type="dxa" w:w="1209"/>
            <w:vAlign w:val="center"/>
            <w:shd w:fill="D5DCE4"/>
          </w:tcPr>
          <w:p>
            <w:pPr>
              <w:spacing w:line="240" w:lineRule="auto" w:before="0" w:after="0"/>
              <w:jc w:val="center"/>
            </w:pPr>
            <w:r>
              <w:rPr>
                <w:rFonts w:ascii="Calibri" w:hAnsi="Calibri"/>
                <w:b/>
                <w:color w:val="000000"/>
                <w:sz w:val="24"/>
              </w:rPr>
              <w:t>2.788.483</w:t>
            </w:r>
          </w:p>
        </w:tc>
        <w:tc>
          <w:tcPr>
            <w:tcW w:type="dxa" w:w="1209"/>
            <w:vAlign w:val="center"/>
            <w:shd w:fill="D9D9D9"/>
          </w:tcPr>
          <w:p>
            <w:pPr>
              <w:spacing w:line="240" w:lineRule="auto" w:before="0" w:after="0"/>
              <w:jc w:val="center"/>
            </w:pPr>
            <w:r>
              <w:rPr>
                <w:rFonts w:ascii="Calibri" w:hAnsi="Calibri"/>
                <w:b/>
                <w:color w:val="000000"/>
                <w:sz w:val="24"/>
              </w:rPr>
              <w:t>2.389.769</w:t>
            </w:r>
          </w:p>
        </w:tc>
      </w:tr>
    </w:tbl>
    <w:p>
      <w:pPr>
        <w:spacing w:before="120" w:after="600"/>
        <w:jc w:val="left"/>
      </w:pPr>
      <w:r>
        <w:rPr>
          <w:rFonts w:ascii="Calibri" w:hAnsi="Calibri"/>
          <w:b w:val="0"/>
          <w:sz w:val="16"/>
        </w:rPr>
        <w:t>Tabela 07 - Julgamentos realizados. Fonte: Centro de Informações para a Gestão Institucional – CEINFO</w:t>
      </w:r>
    </w:p>
    <w:tbl>
      <w:tblPr>
        <w:tblW w:type="auto" w:w="0"/>
        <w:tblLook w:firstColumn="1" w:firstRow="1" w:lastColumn="0" w:lastRow="0" w:noHBand="0" w:noVBand="1" w:val="04A0"/>
      </w:tblPr>
      <w:tblGrid>
        <w:gridCol w:w="1814"/>
        <w:gridCol w:w="1209"/>
        <w:gridCol w:w="1209"/>
        <w:gridCol w:w="1209"/>
        <w:gridCol w:w="1209"/>
        <w:gridCol w:w="1209"/>
        <w:gridCol w:w="1209"/>
      </w:tblGrid>
      <w:tr>
        <w:trPr>
          <w:trHeight w:val="340" w:hRule="atLeast"/>
          <w:tblHeader/>
        </w:trPr>
        <w:tc>
          <w:tcPr>
            <w:tcW w:type="dxa" w:w="9068"/>
            <w:gridSpan w:val="7"/>
            <w:shd w:fill="7F7F7F"/>
            <w:vAlign w:val="center"/>
          </w:tcPr>
          <w:p>
            <w:pPr>
              <w:jc w:val="center"/>
            </w:pPr>
            <w:r>
              <w:rPr>
                <w:rFonts w:ascii="Calibri" w:hAnsi="Calibri"/>
                <w:b/>
                <w:color w:val="FFFFFF"/>
                <w:sz w:val="24"/>
              </w:rPr>
              <w:t>ACERVO DE FEITOS ATIVOS NO ÚLTIMO DIA DO ANO</w:t>
            </w:r>
          </w:p>
        </w:tc>
      </w:tr>
      <w:tr>
        <w:trPr>
          <w:trHeight w:val="340" w:hRule="atLeast"/>
          <w:tblHeader/>
        </w:trPr>
        <w:tc>
          <w:tcPr>
            <w:tcW w:type="dxa" w:w="1814"/>
            <w:vAlign w:val="center"/>
            <w:tcBorders>
              <w:bottom w:val="single" w:sz="4" w:color="000000"/>
            </w:tcBorders>
          </w:tcPr>
          <w:p>
            <w:pPr>
              <w:jc w:val="center"/>
            </w:pPr>
            <w:r>
              <w:rPr>
                <w:rFonts w:ascii="Calibri" w:hAnsi="Calibri"/>
                <w:b/>
                <w:color w:val="000000"/>
                <w:sz w:val="24"/>
              </w:rPr>
              <w:t>Instância</w:t>
            </w:r>
          </w:p>
        </w:tc>
        <w:tc>
          <w:tcPr>
            <w:tcW w:type="dxa" w:w="1209"/>
            <w:vAlign w:val="center"/>
            <w:tcBorders>
              <w:bottom w:val="single" w:sz="4" w:color="000000"/>
            </w:tcBorders>
          </w:tcPr>
          <w:p>
            <w:pPr>
              <w:jc w:val="center"/>
            </w:pPr>
            <w:r>
              <w:rPr>
                <w:rFonts w:ascii="Calibri" w:hAnsi="Calibri"/>
                <w:b/>
                <w:color w:val="000000"/>
                <w:sz w:val="24"/>
              </w:rPr>
              <w:t>2020</w:t>
            </w:r>
          </w:p>
        </w:tc>
        <w:tc>
          <w:tcPr>
            <w:tcW w:type="dxa" w:w="1209"/>
            <w:vAlign w:val="center"/>
            <w:tcBorders>
              <w:bottom w:val="single" w:sz="4" w:color="000000"/>
            </w:tcBorders>
          </w:tcPr>
          <w:p>
            <w:pPr>
              <w:jc w:val="center"/>
            </w:pPr>
            <w:r>
              <w:rPr>
                <w:rFonts w:ascii="Calibri" w:hAnsi="Calibri"/>
                <w:b/>
                <w:color w:val="000000"/>
                <w:sz w:val="24"/>
              </w:rPr>
              <w:t>2021</w:t>
            </w:r>
          </w:p>
        </w:tc>
        <w:tc>
          <w:tcPr>
            <w:tcW w:type="dxa" w:w="1209"/>
            <w:vAlign w:val="center"/>
            <w:tcBorders>
              <w:bottom w:val="single" w:sz="4" w:color="000000"/>
            </w:tcBorders>
          </w:tcPr>
          <w:p>
            <w:pPr>
              <w:jc w:val="center"/>
            </w:pPr>
            <w:r>
              <w:rPr>
                <w:rFonts w:ascii="Calibri" w:hAnsi="Calibri"/>
                <w:b/>
                <w:color w:val="000000"/>
                <w:sz w:val="24"/>
              </w:rPr>
              <w:t>2022</w:t>
            </w:r>
          </w:p>
        </w:tc>
        <w:tc>
          <w:tcPr>
            <w:tcW w:type="dxa" w:w="1209"/>
            <w:vAlign w:val="center"/>
            <w:tcBorders>
              <w:bottom w:val="single" w:sz="4" w:color="000000"/>
            </w:tcBorders>
          </w:tcPr>
          <w:p>
            <w:pPr>
              <w:jc w:val="center"/>
            </w:pPr>
            <w:r>
              <w:rPr>
                <w:rFonts w:ascii="Calibri" w:hAnsi="Calibri"/>
                <w:b/>
                <w:color w:val="000000"/>
                <w:sz w:val="24"/>
              </w:rPr>
              <w:t>2023</w:t>
            </w:r>
          </w:p>
        </w:tc>
        <w:tc>
          <w:tcPr>
            <w:tcW w:type="dxa" w:w="1209"/>
            <w:vAlign w:val="center"/>
            <w:shd w:fill="44546A"/>
            <w:tcBorders>
              <w:bottom w:val="single" w:sz="4" w:color="000000"/>
            </w:tcBorders>
          </w:tcPr>
          <w:p>
            <w:pPr>
              <w:jc w:val="center"/>
            </w:pPr>
            <w:r>
              <w:rPr>
                <w:rFonts w:ascii="Calibri" w:hAnsi="Calibri"/>
                <w:b/>
                <w:color w:val="FFFFFF"/>
                <w:sz w:val="24"/>
              </w:rPr>
              <w:t>2024</w:t>
            </w:r>
          </w:p>
        </w:tc>
        <w:tc>
          <w:tcPr>
            <w:tcW w:type="dxa" w:w="1209"/>
            <w:vAlign w:val="center"/>
            <w:tcBorders>
              <w:bottom w:val="single" w:sz="4" w:color="000000"/>
            </w:tcBorders>
          </w:tcPr>
          <w:p>
            <w:pPr>
              <w:jc w:val="center"/>
            </w:pPr>
            <w:r>
              <w:rPr>
                <w:rFonts w:ascii="Calibri" w:hAnsi="Calibri"/>
                <w:b/>
                <w:color w:val="000000"/>
                <w:sz w:val="24"/>
              </w:rPr>
              <w:t>Média</w:t>
            </w:r>
          </w:p>
        </w:tc>
      </w:tr>
      <w:tr>
        <w:trPr>
          <w:trHeight w:val="340" w:hRule="atLeast"/>
          <w:cantSplit w:val="0"/>
        </w:trPr>
        <w:tc>
          <w:tcPr>
            <w:tcW w:type="dxa" w:w="1814"/>
            <w:vAlign w:val="center"/>
            <w:shd w:fill="D9D9D9"/>
          </w:tcPr>
          <w:p>
            <w:pPr>
              <w:spacing w:line="240" w:lineRule="auto" w:before="0" w:after="0"/>
              <w:jc w:val="center"/>
            </w:pPr>
            <w:r>
              <w:rPr>
                <w:rFonts w:ascii="Calibri" w:hAnsi="Calibri"/>
                <w:b w:val="0"/>
                <w:color w:val="000000"/>
                <w:sz w:val="24"/>
              </w:rPr>
              <w:t>Justiça Comum</w:t>
            </w:r>
          </w:p>
        </w:tc>
        <w:tc>
          <w:tcPr>
            <w:tcW w:type="dxa" w:w="1209"/>
            <w:vAlign w:val="center"/>
            <w:shd w:fill="D9D9D9"/>
          </w:tcPr>
          <w:p>
            <w:pPr>
              <w:spacing w:line="240" w:lineRule="auto" w:before="0" w:after="0"/>
              <w:jc w:val="center"/>
            </w:pPr>
            <w:r>
              <w:rPr>
                <w:rFonts w:ascii="Calibri" w:hAnsi="Calibri"/>
                <w:b w:val="0"/>
                <w:color w:val="000000"/>
                <w:sz w:val="24"/>
              </w:rPr>
              <w:t>4.255.163</w:t>
            </w:r>
          </w:p>
        </w:tc>
        <w:tc>
          <w:tcPr>
            <w:tcW w:type="dxa" w:w="1209"/>
            <w:vAlign w:val="center"/>
            <w:shd w:fill="D9D9D9"/>
          </w:tcPr>
          <w:p>
            <w:pPr>
              <w:spacing w:line="240" w:lineRule="auto" w:before="0" w:after="0"/>
              <w:jc w:val="center"/>
            </w:pPr>
            <w:r>
              <w:rPr>
                <w:rFonts w:ascii="Calibri" w:hAnsi="Calibri"/>
                <w:b w:val="0"/>
                <w:color w:val="000000"/>
                <w:sz w:val="24"/>
              </w:rPr>
              <w:t>4.152.223</w:t>
            </w:r>
          </w:p>
        </w:tc>
        <w:tc>
          <w:tcPr>
            <w:tcW w:type="dxa" w:w="1209"/>
            <w:vAlign w:val="center"/>
            <w:shd w:fill="D9D9D9"/>
          </w:tcPr>
          <w:p>
            <w:pPr>
              <w:spacing w:line="240" w:lineRule="auto" w:before="0" w:after="0"/>
              <w:jc w:val="center"/>
            </w:pPr>
            <w:r>
              <w:rPr>
                <w:rFonts w:ascii="Calibri" w:hAnsi="Calibri"/>
                <w:b w:val="0"/>
                <w:color w:val="000000"/>
                <w:sz w:val="24"/>
              </w:rPr>
              <w:t>4.233.968</w:t>
            </w:r>
          </w:p>
        </w:tc>
        <w:tc>
          <w:tcPr>
            <w:tcW w:type="dxa" w:w="1209"/>
            <w:vAlign w:val="center"/>
            <w:shd w:fill="D9D9D9"/>
          </w:tcPr>
          <w:p>
            <w:pPr>
              <w:spacing w:line="240" w:lineRule="auto" w:before="0" w:after="0"/>
              <w:jc w:val="center"/>
            </w:pPr>
            <w:r>
              <w:rPr>
                <w:rFonts w:ascii="Calibri" w:hAnsi="Calibri"/>
                <w:b w:val="0"/>
                <w:color w:val="000000"/>
                <w:sz w:val="24"/>
              </w:rPr>
              <w:t>4.140.228</w:t>
            </w:r>
          </w:p>
        </w:tc>
        <w:tc>
          <w:tcPr>
            <w:tcW w:type="dxa" w:w="1209"/>
            <w:vAlign w:val="center"/>
            <w:shd w:fill="D5DCE4"/>
          </w:tcPr>
          <w:p>
            <w:pPr>
              <w:spacing w:line="240" w:lineRule="auto" w:before="0" w:after="0"/>
              <w:jc w:val="center"/>
            </w:pPr>
            <w:r>
              <w:rPr>
                <w:rFonts w:ascii="Calibri" w:hAnsi="Calibri"/>
                <w:b w:val="0"/>
                <w:color w:val="000000"/>
                <w:sz w:val="24"/>
              </w:rPr>
              <w:t>4.042.435</w:t>
            </w:r>
          </w:p>
        </w:tc>
        <w:tc>
          <w:tcPr>
            <w:tcW w:type="dxa" w:w="1209"/>
            <w:vAlign w:val="center"/>
            <w:shd w:fill="D9D9D9"/>
          </w:tcPr>
          <w:p>
            <w:pPr>
              <w:spacing w:line="240" w:lineRule="auto" w:before="0" w:after="0"/>
              <w:jc w:val="center"/>
            </w:pPr>
            <w:r>
              <w:rPr>
                <w:rFonts w:ascii="Calibri" w:hAnsi="Calibri"/>
                <w:b w:val="0"/>
                <w:color w:val="000000"/>
                <w:sz w:val="24"/>
              </w:rPr>
              <w:t>4.164.803</w:t>
            </w:r>
          </w:p>
        </w:tc>
      </w:tr>
      <w:tr>
        <w:trPr>
          <w:trHeight w:val="340" w:hRule="atLeast"/>
          <w:cantSplit w:val="0"/>
        </w:trPr>
        <w:tc>
          <w:tcPr>
            <w:tcW w:type="dxa" w:w="1814"/>
            <w:vAlign w:val="center"/>
          </w:tcPr>
          <w:p>
            <w:pPr>
              <w:spacing w:line="240" w:lineRule="auto" w:before="0" w:after="0"/>
              <w:jc w:val="center"/>
            </w:pPr>
            <w:r>
              <w:rPr>
                <w:rFonts w:ascii="Calibri" w:hAnsi="Calibri"/>
                <w:b w:val="0"/>
                <w:color w:val="000000"/>
                <w:sz w:val="24"/>
              </w:rPr>
              <w:t>Juizado Especial</w:t>
            </w:r>
          </w:p>
        </w:tc>
        <w:tc>
          <w:tcPr>
            <w:tcW w:type="dxa" w:w="1209"/>
            <w:vAlign w:val="center"/>
          </w:tcPr>
          <w:p>
            <w:pPr>
              <w:spacing w:line="240" w:lineRule="auto" w:before="0" w:after="0"/>
              <w:jc w:val="center"/>
            </w:pPr>
            <w:r>
              <w:rPr>
                <w:rFonts w:ascii="Calibri" w:hAnsi="Calibri"/>
                <w:b w:val="0"/>
                <w:color w:val="000000"/>
                <w:sz w:val="24"/>
              </w:rPr>
              <w:t>1.125.405</w:t>
            </w:r>
          </w:p>
        </w:tc>
        <w:tc>
          <w:tcPr>
            <w:tcW w:type="dxa" w:w="1209"/>
            <w:vAlign w:val="center"/>
          </w:tcPr>
          <w:p>
            <w:pPr>
              <w:spacing w:line="240" w:lineRule="auto" w:before="0" w:after="0"/>
              <w:jc w:val="center"/>
            </w:pPr>
            <w:r>
              <w:rPr>
                <w:rFonts w:ascii="Calibri" w:hAnsi="Calibri"/>
                <w:b w:val="0"/>
                <w:color w:val="000000"/>
                <w:sz w:val="24"/>
              </w:rPr>
              <w:t>1.125.081</w:t>
            </w:r>
          </w:p>
        </w:tc>
        <w:tc>
          <w:tcPr>
            <w:tcW w:type="dxa" w:w="1209"/>
            <w:vAlign w:val="center"/>
          </w:tcPr>
          <w:p>
            <w:pPr>
              <w:spacing w:line="240" w:lineRule="auto" w:before="0" w:after="0"/>
              <w:jc w:val="center"/>
            </w:pPr>
            <w:r>
              <w:rPr>
                <w:rFonts w:ascii="Calibri" w:hAnsi="Calibri"/>
                <w:b w:val="0"/>
                <w:color w:val="000000"/>
                <w:sz w:val="24"/>
              </w:rPr>
              <w:t>1.053.185</w:t>
            </w:r>
          </w:p>
        </w:tc>
        <w:tc>
          <w:tcPr>
            <w:tcW w:type="dxa" w:w="1209"/>
            <w:vAlign w:val="center"/>
          </w:tcPr>
          <w:p>
            <w:pPr>
              <w:spacing w:line="240" w:lineRule="auto" w:before="0" w:after="0"/>
              <w:jc w:val="center"/>
            </w:pPr>
            <w:r>
              <w:rPr>
                <w:rFonts w:ascii="Calibri" w:hAnsi="Calibri"/>
                <w:b w:val="0"/>
                <w:color w:val="000000"/>
                <w:sz w:val="24"/>
              </w:rPr>
              <w:t>963.386</w:t>
            </w:r>
          </w:p>
        </w:tc>
        <w:tc>
          <w:tcPr>
            <w:tcW w:type="dxa" w:w="1209"/>
            <w:vAlign w:val="center"/>
            <w:shd w:fill="D5DCE4"/>
          </w:tcPr>
          <w:p>
            <w:pPr>
              <w:spacing w:line="240" w:lineRule="auto" w:before="0" w:after="0"/>
              <w:jc w:val="center"/>
            </w:pPr>
            <w:r>
              <w:rPr>
                <w:rFonts w:ascii="Calibri" w:hAnsi="Calibri"/>
                <w:b w:val="0"/>
                <w:color w:val="000000"/>
                <w:sz w:val="24"/>
              </w:rPr>
              <w:t>922.153</w:t>
            </w:r>
          </w:p>
        </w:tc>
        <w:tc>
          <w:tcPr>
            <w:tcW w:type="dxa" w:w="1209"/>
            <w:vAlign w:val="center"/>
          </w:tcPr>
          <w:p>
            <w:pPr>
              <w:spacing w:line="240" w:lineRule="auto" w:before="0" w:after="0"/>
              <w:jc w:val="center"/>
            </w:pPr>
            <w:r>
              <w:rPr>
                <w:rFonts w:ascii="Calibri" w:hAnsi="Calibri"/>
                <w:b w:val="0"/>
                <w:color w:val="000000"/>
                <w:sz w:val="24"/>
              </w:rPr>
              <w:t>1.037.842</w:t>
            </w:r>
          </w:p>
        </w:tc>
      </w:tr>
      <w:tr>
        <w:trPr>
          <w:trHeight w:val="340" w:hRule="atLeast"/>
          <w:cantSplit w:val="0"/>
        </w:trPr>
        <w:tc>
          <w:tcPr>
            <w:tcW w:type="dxa" w:w="1814"/>
            <w:vAlign w:val="center"/>
            <w:shd w:fill="D9D9D9"/>
          </w:tcPr>
          <w:p>
            <w:pPr>
              <w:spacing w:line="240" w:lineRule="auto" w:before="0" w:after="0"/>
              <w:jc w:val="center"/>
            </w:pPr>
            <w:r>
              <w:rPr>
                <w:rFonts w:ascii="Calibri" w:hAnsi="Calibri"/>
                <w:b w:val="0"/>
                <w:color w:val="000000"/>
                <w:sz w:val="24"/>
              </w:rPr>
              <w:t>Turma Recursal</w:t>
            </w:r>
          </w:p>
        </w:tc>
        <w:tc>
          <w:tcPr>
            <w:tcW w:type="dxa" w:w="1209"/>
            <w:vAlign w:val="center"/>
            <w:shd w:fill="D9D9D9"/>
          </w:tcPr>
          <w:p>
            <w:pPr>
              <w:spacing w:line="240" w:lineRule="auto" w:before="0" w:after="0"/>
              <w:jc w:val="center"/>
            </w:pPr>
            <w:r>
              <w:rPr>
                <w:rFonts w:ascii="Calibri" w:hAnsi="Calibri"/>
                <w:b w:val="0"/>
                <w:color w:val="000000"/>
                <w:sz w:val="24"/>
              </w:rPr>
              <w:t>41.272</w:t>
            </w:r>
          </w:p>
        </w:tc>
        <w:tc>
          <w:tcPr>
            <w:tcW w:type="dxa" w:w="1209"/>
            <w:vAlign w:val="center"/>
            <w:shd w:fill="D9D9D9"/>
          </w:tcPr>
          <w:p>
            <w:pPr>
              <w:spacing w:line="240" w:lineRule="auto" w:before="0" w:after="0"/>
              <w:jc w:val="center"/>
            </w:pPr>
            <w:r>
              <w:rPr>
                <w:rFonts w:ascii="Calibri" w:hAnsi="Calibri"/>
                <w:b w:val="0"/>
                <w:color w:val="000000"/>
                <w:sz w:val="24"/>
              </w:rPr>
              <w:t>67.940</w:t>
            </w:r>
          </w:p>
        </w:tc>
        <w:tc>
          <w:tcPr>
            <w:tcW w:type="dxa" w:w="1209"/>
            <w:vAlign w:val="center"/>
            <w:shd w:fill="D9D9D9"/>
          </w:tcPr>
          <w:p>
            <w:pPr>
              <w:spacing w:line="240" w:lineRule="auto" w:before="0" w:after="0"/>
              <w:jc w:val="center"/>
            </w:pPr>
            <w:r>
              <w:rPr>
                <w:rFonts w:ascii="Calibri" w:hAnsi="Calibri"/>
                <w:b w:val="0"/>
                <w:color w:val="000000"/>
                <w:sz w:val="24"/>
              </w:rPr>
              <w:t>69.541</w:t>
            </w:r>
          </w:p>
        </w:tc>
        <w:tc>
          <w:tcPr>
            <w:tcW w:type="dxa" w:w="1209"/>
            <w:vAlign w:val="center"/>
            <w:shd w:fill="D9D9D9"/>
          </w:tcPr>
          <w:p>
            <w:pPr>
              <w:spacing w:line="240" w:lineRule="auto" w:before="0" w:after="0"/>
              <w:jc w:val="center"/>
            </w:pPr>
            <w:r>
              <w:rPr>
                <w:rFonts w:ascii="Calibri" w:hAnsi="Calibri"/>
                <w:b w:val="0"/>
                <w:color w:val="000000"/>
                <w:sz w:val="24"/>
              </w:rPr>
              <w:t>76.573</w:t>
            </w:r>
          </w:p>
        </w:tc>
        <w:tc>
          <w:tcPr>
            <w:tcW w:type="dxa" w:w="1209"/>
            <w:vAlign w:val="center"/>
            <w:shd w:fill="D5DCE4"/>
          </w:tcPr>
          <w:p>
            <w:pPr>
              <w:spacing w:line="240" w:lineRule="auto" w:before="0" w:after="0"/>
              <w:jc w:val="center"/>
            </w:pPr>
            <w:r>
              <w:rPr>
                <w:rFonts w:ascii="Calibri" w:hAnsi="Calibri"/>
                <w:b w:val="0"/>
                <w:color w:val="000000"/>
                <w:sz w:val="24"/>
              </w:rPr>
              <w:t>87.801</w:t>
            </w:r>
          </w:p>
        </w:tc>
        <w:tc>
          <w:tcPr>
            <w:tcW w:type="dxa" w:w="1209"/>
            <w:vAlign w:val="center"/>
            <w:shd w:fill="D9D9D9"/>
          </w:tcPr>
          <w:p>
            <w:pPr>
              <w:spacing w:line="240" w:lineRule="auto" w:before="0" w:after="0"/>
              <w:jc w:val="center"/>
            </w:pPr>
            <w:r>
              <w:rPr>
                <w:rFonts w:ascii="Calibri" w:hAnsi="Calibri"/>
                <w:b w:val="0"/>
                <w:color w:val="000000"/>
                <w:sz w:val="24"/>
              </w:rPr>
              <w:t>68.625</w:t>
            </w:r>
          </w:p>
        </w:tc>
      </w:tr>
      <w:tr>
        <w:trPr>
          <w:trHeight w:val="340" w:hRule="atLeast"/>
          <w:cantSplit w:val="0"/>
        </w:trPr>
        <w:tc>
          <w:tcPr>
            <w:tcW w:type="dxa" w:w="1814"/>
            <w:vAlign w:val="center"/>
          </w:tcPr>
          <w:p>
            <w:pPr>
              <w:spacing w:line="240" w:lineRule="auto" w:before="0" w:after="0"/>
              <w:jc w:val="center"/>
            </w:pPr>
            <w:r>
              <w:rPr>
                <w:rFonts w:ascii="Calibri" w:hAnsi="Calibri"/>
                <w:b w:val="0"/>
                <w:color w:val="000000"/>
                <w:sz w:val="24"/>
              </w:rPr>
              <w:t>2º Grau</w:t>
            </w:r>
          </w:p>
        </w:tc>
        <w:tc>
          <w:tcPr>
            <w:tcW w:type="dxa" w:w="1209"/>
            <w:vAlign w:val="center"/>
          </w:tcPr>
          <w:p>
            <w:pPr>
              <w:spacing w:line="240" w:lineRule="auto" w:before="0" w:after="0"/>
              <w:jc w:val="center"/>
            </w:pPr>
            <w:r>
              <w:rPr>
                <w:rFonts w:ascii="Calibri" w:hAnsi="Calibri"/>
                <w:b w:val="0"/>
                <w:color w:val="000000"/>
                <w:sz w:val="24"/>
              </w:rPr>
              <w:t>224.715</w:t>
            </w:r>
          </w:p>
        </w:tc>
        <w:tc>
          <w:tcPr>
            <w:tcW w:type="dxa" w:w="1209"/>
            <w:vAlign w:val="center"/>
          </w:tcPr>
          <w:p>
            <w:pPr>
              <w:spacing w:line="240" w:lineRule="auto" w:before="0" w:after="0"/>
              <w:jc w:val="center"/>
            </w:pPr>
            <w:r>
              <w:rPr>
                <w:rFonts w:ascii="Calibri" w:hAnsi="Calibri"/>
                <w:b w:val="0"/>
                <w:color w:val="000000"/>
                <w:sz w:val="24"/>
              </w:rPr>
              <w:t>232.448</w:t>
            </w:r>
          </w:p>
        </w:tc>
        <w:tc>
          <w:tcPr>
            <w:tcW w:type="dxa" w:w="1209"/>
            <w:vAlign w:val="center"/>
          </w:tcPr>
          <w:p>
            <w:pPr>
              <w:spacing w:line="240" w:lineRule="auto" w:before="0" w:after="0"/>
              <w:jc w:val="center"/>
            </w:pPr>
            <w:r>
              <w:rPr>
                <w:rFonts w:ascii="Calibri" w:hAnsi="Calibri"/>
                <w:b w:val="0"/>
                <w:color w:val="000000"/>
                <w:sz w:val="24"/>
              </w:rPr>
              <w:t>224.156</w:t>
            </w:r>
          </w:p>
        </w:tc>
        <w:tc>
          <w:tcPr>
            <w:tcW w:type="dxa" w:w="1209"/>
            <w:vAlign w:val="center"/>
          </w:tcPr>
          <w:p>
            <w:pPr>
              <w:spacing w:line="240" w:lineRule="auto" w:before="0" w:after="0"/>
              <w:jc w:val="center"/>
            </w:pPr>
            <w:r>
              <w:rPr>
                <w:rFonts w:ascii="Calibri" w:hAnsi="Calibri"/>
                <w:b w:val="0"/>
                <w:color w:val="000000"/>
                <w:sz w:val="24"/>
              </w:rPr>
              <w:t>220.826</w:t>
            </w:r>
          </w:p>
        </w:tc>
        <w:tc>
          <w:tcPr>
            <w:tcW w:type="dxa" w:w="1209"/>
            <w:vAlign w:val="center"/>
            <w:shd w:fill="D5DCE4"/>
          </w:tcPr>
          <w:p>
            <w:pPr>
              <w:spacing w:line="240" w:lineRule="auto" w:before="0" w:after="0"/>
              <w:jc w:val="center"/>
            </w:pPr>
            <w:r>
              <w:rPr>
                <w:rFonts w:ascii="Calibri" w:hAnsi="Calibri"/>
                <w:b w:val="0"/>
                <w:color w:val="000000"/>
                <w:sz w:val="24"/>
              </w:rPr>
              <w:t>206.944</w:t>
            </w:r>
          </w:p>
        </w:tc>
        <w:tc>
          <w:tcPr>
            <w:tcW w:type="dxa" w:w="1209"/>
            <w:vAlign w:val="center"/>
          </w:tcPr>
          <w:p>
            <w:pPr>
              <w:spacing w:line="240" w:lineRule="auto" w:before="0" w:after="0"/>
              <w:jc w:val="center"/>
            </w:pPr>
            <w:r>
              <w:rPr>
                <w:rFonts w:ascii="Calibri" w:hAnsi="Calibri"/>
                <w:b w:val="0"/>
                <w:color w:val="000000"/>
                <w:sz w:val="24"/>
              </w:rPr>
              <w:t>221.818</w:t>
            </w:r>
          </w:p>
        </w:tc>
      </w:tr>
      <w:tr>
        <w:trPr>
          <w:trHeight w:val="340" w:hRule="atLeast"/>
          <w:cantSplit w:val="0"/>
        </w:trPr>
        <w:tc>
          <w:tcPr>
            <w:tcW w:type="dxa" w:w="1814"/>
            <w:vAlign w:val="center"/>
            <w:shd w:fill="D9D9D9"/>
          </w:tcPr>
          <w:p>
            <w:pPr>
              <w:spacing w:line="240" w:lineRule="auto" w:before="0" w:after="0"/>
              <w:jc w:val="center"/>
            </w:pPr>
            <w:r>
              <w:rPr>
                <w:rFonts w:ascii="Calibri" w:hAnsi="Calibri"/>
                <w:b/>
                <w:color w:val="000000"/>
                <w:sz w:val="24"/>
              </w:rPr>
              <w:t>Total</w:t>
            </w:r>
          </w:p>
        </w:tc>
        <w:tc>
          <w:tcPr>
            <w:tcW w:type="dxa" w:w="1209"/>
            <w:vAlign w:val="center"/>
            <w:shd w:fill="D9D9D9"/>
          </w:tcPr>
          <w:p>
            <w:pPr>
              <w:spacing w:line="240" w:lineRule="auto" w:before="0" w:after="0"/>
              <w:jc w:val="center"/>
            </w:pPr>
            <w:r>
              <w:rPr>
                <w:rFonts w:ascii="Calibri" w:hAnsi="Calibri"/>
                <w:b/>
                <w:color w:val="000000"/>
                <w:sz w:val="24"/>
              </w:rPr>
              <w:t>5.646.555</w:t>
            </w:r>
          </w:p>
        </w:tc>
        <w:tc>
          <w:tcPr>
            <w:tcW w:type="dxa" w:w="1209"/>
            <w:vAlign w:val="center"/>
            <w:shd w:fill="D9D9D9"/>
          </w:tcPr>
          <w:p>
            <w:pPr>
              <w:spacing w:line="240" w:lineRule="auto" w:before="0" w:after="0"/>
              <w:jc w:val="center"/>
            </w:pPr>
            <w:r>
              <w:rPr>
                <w:rFonts w:ascii="Calibri" w:hAnsi="Calibri"/>
                <w:b/>
                <w:color w:val="000000"/>
                <w:sz w:val="24"/>
              </w:rPr>
              <w:t>5.577.692</w:t>
            </w:r>
          </w:p>
        </w:tc>
        <w:tc>
          <w:tcPr>
            <w:tcW w:type="dxa" w:w="1209"/>
            <w:vAlign w:val="center"/>
            <w:shd w:fill="D9D9D9"/>
          </w:tcPr>
          <w:p>
            <w:pPr>
              <w:spacing w:line="240" w:lineRule="auto" w:before="0" w:after="0"/>
              <w:jc w:val="center"/>
            </w:pPr>
            <w:r>
              <w:rPr>
                <w:rFonts w:ascii="Calibri" w:hAnsi="Calibri"/>
                <w:b/>
                <w:color w:val="000000"/>
                <w:sz w:val="24"/>
              </w:rPr>
              <w:t>5.580.850</w:t>
            </w:r>
          </w:p>
        </w:tc>
        <w:tc>
          <w:tcPr>
            <w:tcW w:type="dxa" w:w="1209"/>
            <w:vAlign w:val="center"/>
            <w:shd w:fill="D9D9D9"/>
          </w:tcPr>
          <w:p>
            <w:pPr>
              <w:spacing w:line="240" w:lineRule="auto" w:before="0" w:after="0"/>
              <w:jc w:val="center"/>
            </w:pPr>
            <w:r>
              <w:rPr>
                <w:rFonts w:ascii="Calibri" w:hAnsi="Calibri"/>
                <w:b/>
                <w:color w:val="000000"/>
                <w:sz w:val="24"/>
              </w:rPr>
              <w:t>5.401.013</w:t>
            </w:r>
          </w:p>
        </w:tc>
        <w:tc>
          <w:tcPr>
            <w:tcW w:type="dxa" w:w="1209"/>
            <w:vAlign w:val="center"/>
            <w:shd w:fill="D5DCE4"/>
          </w:tcPr>
          <w:p>
            <w:pPr>
              <w:spacing w:line="240" w:lineRule="auto" w:before="0" w:after="0"/>
              <w:jc w:val="center"/>
            </w:pPr>
            <w:r>
              <w:rPr>
                <w:rFonts w:ascii="Calibri" w:hAnsi="Calibri"/>
                <w:b/>
                <w:color w:val="000000"/>
                <w:sz w:val="24"/>
              </w:rPr>
              <w:t>5.259.333</w:t>
            </w:r>
          </w:p>
        </w:tc>
        <w:tc>
          <w:tcPr>
            <w:tcW w:type="dxa" w:w="1209"/>
            <w:vAlign w:val="center"/>
            <w:shd w:fill="D9D9D9"/>
          </w:tcPr>
          <w:p>
            <w:pPr>
              <w:spacing w:line="240" w:lineRule="auto" w:before="0" w:after="0"/>
              <w:jc w:val="center"/>
            </w:pPr>
            <w:r>
              <w:rPr>
                <w:rFonts w:ascii="Calibri" w:hAnsi="Calibri"/>
                <w:b/>
                <w:color w:val="000000"/>
                <w:sz w:val="24"/>
              </w:rPr>
              <w:t>5.493.089</w:t>
            </w:r>
          </w:p>
        </w:tc>
      </w:tr>
    </w:tbl>
    <w:p>
      <w:pPr>
        <w:spacing w:before="120" w:after="600"/>
        <w:jc w:val="left"/>
      </w:pPr>
      <w:r>
        <w:rPr>
          <w:rFonts w:ascii="Calibri" w:hAnsi="Calibri"/>
          <w:b w:val="0"/>
          <w:sz w:val="16"/>
        </w:rPr>
        <w:t>Tabela 08 - Dados do acervo. Fonte: Centro de Informações para a Gestão Institucional – CEINFO</w:t>
      </w:r>
    </w:p>
    <w:p>
      <w:pPr>
        <w:spacing w:line="360" w:lineRule="auto" w:after="160"/>
        <w:jc w:val="both"/>
      </w:pPr>
      <w:r>
        <w:t>Quanto à variação percentual de processos distribuídos entre 2020 e 2024, na Primeira Instância, é possível verificar o aumento de 36,96%, e na Segunda Instância o acréscimo de 67,72%.</w:t>
      </w:r>
    </w:p>
    <w:p>
      <w:pPr>
        <w:spacing w:line="360" w:lineRule="auto" w:after="160"/>
        <w:jc w:val="both"/>
      </w:pPr>
      <w:r>
        <w:t>Em contrapartida, a variação no número de processos julgados no mesmo período na Primeira Instância obteve um aumento de 10,50% e na Segunda Instância um aumento de 40,79%, demonstrando, com isso, um aumento de produtividade.</w:t>
      </w:r>
    </w:p>
    <w:p>
      <w:pPr>
        <w:spacing w:line="360" w:lineRule="auto" w:after="160"/>
        <w:jc w:val="both"/>
      </w:pPr>
      <w:r>
        <w:t>À vista da relação direta entre esses dois indicadores, observa-se ainda um apontamento positivo no quantitativo do acervo processual da instituição, a saber:  comparando-se o acervo existente em 2020 e em 2024, houve um decréscimo no volume processual da Primeira Instância na ordem de 6,81% e no volume processual da Segunda Instância de 7,91%.</w:t>
      </w:r>
    </w:p>
    <w:p>
      <w:pPr>
        <w:pStyle w:val="Heading2"/>
        <w:spacing w:after="400"/>
      </w:pPr>
      <w:r>
        <w:t>3.4 Instalações Prediais</w:t>
      </w:r>
    </w:p>
    <w:p>
      <w:pPr>
        <w:spacing w:line="360" w:lineRule="auto" w:after="160"/>
        <w:jc w:val="both"/>
      </w:pPr>
      <w:r>
        <w:t>Em relação ao número de instalações prediais, o TJMG dispõe atualmente de 516 edificações, sendo 365 prédios próprios, 106 prédios alugados e 35 prédios cedidos por outros órgãos ao Tribunal. Vale ressaltar que existem algumas edificações cedidas pelo TJMG a outros órgãos, por meio de Termos de Cessões que contemplam imóveis ou áreas dentro das edificações dos Fóruns. Há ainda 10 imóveis em processo de desapropriação.</w:t>
      </w:r>
    </w:p>
    <w:p>
      <w:pPr>
        <w:jc w:val="left"/>
      </w:pPr>
      <w:r>
        <w:drawing>
          <wp:inline xmlns:a="http://schemas.openxmlformats.org/drawingml/2006/main" xmlns:pic="http://schemas.openxmlformats.org/drawingml/2006/picture">
            <wp:extent cx="5940000" cy="959062"/>
            <wp:docPr id="6" name="Picture 6"/>
            <wp:cNvGraphicFramePr>
              <a:graphicFrameLocks noChangeAspect="1"/>
            </wp:cNvGraphicFramePr>
            <a:graphic>
              <a:graphicData uri="http://schemas.openxmlformats.org/drawingml/2006/picture">
                <pic:pic>
                  <pic:nvPicPr>
                    <pic:cNvPr id="0" name="figura_07.png"/>
                    <pic:cNvPicPr/>
                  </pic:nvPicPr>
                  <pic:blipFill>
                    <a:blip r:embed="rId15"/>
                    <a:stretch>
                      <a:fillRect/>
                    </a:stretch>
                  </pic:blipFill>
                  <pic:spPr>
                    <a:xfrm>
                      <a:off x="0" y="0"/>
                      <a:ext cx="5940000" cy="959062"/>
                    </a:xfrm>
                    <a:prstGeom prst="rect"/>
                  </pic:spPr>
                </pic:pic>
              </a:graphicData>
            </a:graphic>
          </wp:inline>
        </w:drawing>
      </w:r>
    </w:p>
    <w:p>
      <w:pPr>
        <w:spacing w:before="120" w:after="0"/>
        <w:jc w:val="left"/>
      </w:pPr>
      <w:r>
        <w:rPr>
          <w:rFonts w:ascii="Calibri" w:hAnsi="Calibri"/>
          <w:b w:val="0"/>
          <w:sz w:val="16"/>
        </w:rPr>
        <w:t>Figura 07 - Instalações prediais do TJMG.</w:t>
      </w:r>
    </w:p>
    <w:p>
      <w:pPr>
        <w:spacing w:after="600"/>
        <w:jc w:val="left"/>
      </w:pPr>
      <w:r>
        <w:rPr>
          <w:rFonts w:ascii="Calibri" w:hAnsi="Calibri"/>
          <w:sz w:val="16"/>
        </w:rPr>
        <w:t>Fonte: Centro de Informações para a Gestão Institucional – CEINFO</w:t>
      </w:r>
    </w:p>
    <w:p>
      <w:pPr>
        <w:pStyle w:val="Heading2"/>
        <w:spacing w:after="400"/>
      </w:pPr>
      <w:r>
        <w:t>3.5 Orçamento TJMG</w:t>
      </w:r>
    </w:p>
    <w:p>
      <w:pPr>
        <w:pStyle w:val="Heading3"/>
        <w:spacing w:after="400"/>
      </w:pPr>
      <w:r>
        <w:t>3.5.1 Execução Orçamentária de 2024</w:t>
      </w:r>
    </w:p>
    <w:p>
      <w:pPr>
        <w:spacing w:line="360" w:lineRule="auto" w:after="160"/>
        <w:jc w:val="both"/>
      </w:pPr>
      <w:r>
        <w:t>No que se refere à execução orçamentária do exercício de 2024, de maneira geral, percebe-se que os percentuais de execução foram adequados, observada a metodologia estabelecida no Manual de Monitoramento do SIGPLAN, que considera como satisfatório o desempenho entre 70% e 130% na unidade orçamentária 1031. Já na unidade orçamentária 4031, as ações de Gestão de TIC e Processamento Judiciário apresentaram execução orçamentária abaixo de 70%.</w:t>
      </w:r>
    </w:p>
    <w:p>
      <w:r>
        <w:br w:type="page"/>
      </w:r>
    </w:p>
    <w:p>
      <w:pPr>
        <w:spacing w:after="120"/>
        <w:jc w:val="left"/>
      </w:pPr>
      <w:r>
        <w:rPr>
          <w:rFonts w:ascii="Calibri" w:hAnsi="Calibri"/>
          <w:b/>
          <w:color w:val="000000"/>
          <w:sz w:val="24"/>
        </w:rPr>
        <w:t>Unidade Orçamentária 1031 – TJMG | Despesa Realizada por Ação Orçamentária – 2024</w:t>
      </w:r>
    </w:p>
    <w:tbl>
      <w:tblPr>
        <w:tblStyle w:val="TableGrid"/>
        <w:tblW w:type="auto" w:w="0"/>
        <w:tblLook w:firstColumn="1" w:firstRow="1" w:lastColumn="0" w:lastRow="0" w:noHBand="0" w:noVBand="1" w:val="04A0"/>
      </w:tblPr>
      <w:tblGrid>
        <w:gridCol w:w="5443"/>
        <w:gridCol w:w="3628"/>
      </w:tblGrid>
      <w:tr>
        <w:trPr>
          <w:trHeight w:val="340" w:hRule="atLeast"/>
        </w:trPr>
        <w:tc>
          <w:tcPr>
            <w:tcW w:type="dxa" w:w="5443"/>
            <w:vAlign w:val="center"/>
            <w:tcBorders>
              <w:top w:val="single" w:sz="4" w:color="000000"/>
              <w:bottom w:val="single" w:sz="4" w:color="000000"/>
              <w:left w:val="single" w:sz="4" w:color="000000"/>
              <w:right w:val="single" w:sz="4" w:color="000000"/>
            </w:tcBorders>
            <w:shd w:fill="7F7F7F"/>
          </w:tcPr>
          <w:p>
            <w:pPr>
              <w:spacing w:before="0" w:after="0"/>
              <w:jc w:val="center"/>
            </w:pPr>
            <w:r>
              <w:rPr>
                <w:rFonts w:ascii="Calibri" w:hAnsi="Calibri"/>
                <w:b/>
                <w:color w:val="FFFFFF"/>
                <w:sz w:val="24"/>
              </w:rPr>
              <w:t>AÇÃO ORÇAMENTÁRIA</w:t>
            </w:r>
          </w:p>
        </w:tc>
        <w:tc>
          <w:tcPr>
            <w:tcW w:type="dxa" w:w="3628"/>
            <w:vAlign w:val="center"/>
            <w:tcBorders>
              <w:top w:val="single" w:sz="4" w:color="000000"/>
              <w:bottom w:val="single" w:sz="4" w:color="000000"/>
              <w:left w:val="single" w:sz="4" w:color="000000"/>
              <w:right w:val="single" w:sz="4" w:color="000000"/>
            </w:tcBorders>
            <w:shd w:fill="7F7F7F"/>
          </w:tcPr>
          <w:p>
            <w:pPr>
              <w:spacing w:before="0" w:after="0"/>
              <w:jc w:val="center"/>
            </w:pPr>
            <w:r>
              <w:rPr>
                <w:rFonts w:ascii="Calibri" w:hAnsi="Calibri"/>
                <w:b/>
                <w:color w:val="FFFFFF"/>
                <w:sz w:val="24"/>
              </w:rPr>
              <w:t>DESPESA REALIZADA 2024 (R$)</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color w:val="000000"/>
                <w:sz w:val="24"/>
              </w:rPr>
              <w:t>7004 - Precatórios e Sentenças Judiciárias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color w:val="000000"/>
                <w:sz w:val="24"/>
              </w:rPr>
              <w:t>-</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color w:val="000000"/>
                <w:sz w:val="24"/>
              </w:rPr>
              <w:t>7006 - Proventos de Inativos Civis e Pensionistas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color w:val="000000"/>
                <w:sz w:val="24"/>
              </w:rPr>
              <w:t>2.535.040.959,40</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color w:val="000000"/>
                <w:sz w:val="24"/>
              </w:rPr>
              <w:t>2053 - Remuneração de Magistrados da Ativa E Encargos Sociais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color w:val="000000"/>
                <w:sz w:val="24"/>
              </w:rPr>
              <w:t>1.353.944.848,00</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color w:val="000000"/>
                <w:sz w:val="24"/>
              </w:rPr>
              <w:t>2054 - Remuneração de Servidores da Ativa e Encargos Sociais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color w:val="000000"/>
                <w:sz w:val="24"/>
              </w:rPr>
              <w:t>5.448.469.921,18</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shd w:fill="BFBFBF"/>
          </w:tcPr>
          <w:p>
            <w:pPr>
              <w:spacing w:before="0" w:after="0"/>
              <w:jc w:val="center"/>
            </w:pPr>
            <w:r>
              <w:rPr>
                <w:rFonts w:ascii="Calibri" w:hAnsi="Calibri"/>
                <w:b/>
                <w:color w:val="000000"/>
                <w:sz w:val="24"/>
              </w:rPr>
              <w:t>TOTAL</w:t>
            </w:r>
          </w:p>
        </w:tc>
        <w:tc>
          <w:tcPr>
            <w:tcW w:type="dxa" w:w="3628"/>
            <w:vAlign w:val="center"/>
            <w:tcBorders>
              <w:top w:val="single" w:sz="4" w:color="000000"/>
              <w:bottom w:val="single" w:sz="4" w:color="000000"/>
              <w:left w:val="single" w:sz="4" w:color="000000"/>
              <w:right w:val="single" w:sz="4" w:color="000000"/>
            </w:tcBorders>
            <w:shd w:fill="BFBFBF"/>
          </w:tcPr>
          <w:p>
            <w:pPr>
              <w:spacing w:before="0" w:after="0"/>
              <w:jc w:val="center"/>
            </w:pPr>
            <w:r>
              <w:rPr>
                <w:rFonts w:ascii="Calibri" w:hAnsi="Calibri"/>
                <w:b/>
                <w:color w:val="000000"/>
                <w:sz w:val="24"/>
              </w:rPr>
              <w:t>9.337.455.728,58</w:t>
            </w:r>
          </w:p>
        </w:tc>
      </w:tr>
    </w:tbl>
    <w:p>
      <w:pPr>
        <w:spacing w:before="120" w:after="300"/>
        <w:jc w:val="left"/>
      </w:pPr>
      <w:r>
        <w:rPr>
          <w:rFonts w:ascii="Calibri" w:hAnsi="Calibri"/>
          <w:b w:val="0"/>
          <w:sz w:val="16"/>
        </w:rPr>
        <w:t>Tabela 09 - Despesa realizada por ação (Unidade 1031). Fonte: Armazém de Informações - BO SIAFI/MG</w:t>
      </w:r>
    </w:p>
    <w:p>
      <w:pPr>
        <w:jc w:val="left"/>
      </w:pPr>
      <w:r>
        <w:drawing>
          <wp:inline xmlns:a="http://schemas.openxmlformats.org/drawingml/2006/main" xmlns:pic="http://schemas.openxmlformats.org/drawingml/2006/picture">
            <wp:extent cx="5940000" cy="2829242"/>
            <wp:docPr id="7" name="Picture 7"/>
            <wp:cNvGraphicFramePr>
              <a:graphicFrameLocks noChangeAspect="1"/>
            </wp:cNvGraphicFramePr>
            <a:graphic>
              <a:graphicData uri="http://schemas.openxmlformats.org/drawingml/2006/picture">
                <pic:pic>
                  <pic:nvPicPr>
                    <pic:cNvPr id="0" name="figura_08.png"/>
                    <pic:cNvPicPr/>
                  </pic:nvPicPr>
                  <pic:blipFill>
                    <a:blip r:embed="rId16"/>
                    <a:stretch>
                      <a:fillRect/>
                    </a:stretch>
                  </pic:blipFill>
                  <pic:spPr>
                    <a:xfrm>
                      <a:off x="0" y="0"/>
                      <a:ext cx="5940000" cy="2829242"/>
                    </a:xfrm>
                    <a:prstGeom prst="rect"/>
                  </pic:spPr>
                </pic:pic>
              </a:graphicData>
            </a:graphic>
          </wp:inline>
        </w:drawing>
      </w:r>
    </w:p>
    <w:p>
      <w:pPr>
        <w:spacing w:before="120" w:after="0"/>
        <w:jc w:val="left"/>
      </w:pPr>
      <w:r>
        <w:rPr>
          <w:rFonts w:ascii="Calibri" w:hAnsi="Calibri"/>
          <w:b w:val="0"/>
          <w:sz w:val="16"/>
        </w:rPr>
        <w:t>Figura 08 - Desempenho da ação por programa (Unidade 1031).</w:t>
      </w:r>
    </w:p>
    <w:p>
      <w:pPr>
        <w:spacing w:after="600"/>
        <w:jc w:val="left"/>
      </w:pPr>
      <w:r>
        <w:rPr>
          <w:rFonts w:ascii="Calibri" w:hAnsi="Calibri"/>
          <w:sz w:val="16"/>
        </w:rPr>
        <w:t>Fonte: Sigplan.</w:t>
      </w:r>
    </w:p>
    <w:p>
      <w:r>
        <w:br w:type="page"/>
      </w:r>
    </w:p>
    <w:p>
      <w:pPr>
        <w:spacing w:after="120"/>
        <w:jc w:val="left"/>
      </w:pPr>
      <w:r>
        <w:rPr>
          <w:rFonts w:ascii="Calibri" w:hAnsi="Calibri"/>
          <w:b/>
          <w:color w:val="000000"/>
          <w:sz w:val="24"/>
        </w:rPr>
        <w:t>Unidade Orçamentária 4031 – FEPJ | Despesa Realizada por Ação Orçamentária – 2024</w:t>
      </w:r>
    </w:p>
    <w:tbl>
      <w:tblPr>
        <w:tblStyle w:val="TableGrid"/>
        <w:tblW w:type="auto" w:w="0"/>
        <w:tblLook w:firstColumn="1" w:firstRow="1" w:lastColumn="0" w:lastRow="0" w:noHBand="0" w:noVBand="1" w:val="04A0"/>
      </w:tblPr>
      <w:tblGrid>
        <w:gridCol w:w="5443"/>
        <w:gridCol w:w="3628"/>
      </w:tblGrid>
      <w:tr>
        <w:trPr>
          <w:trHeight w:val="340" w:hRule="atLeast"/>
        </w:trPr>
        <w:tc>
          <w:tcPr>
            <w:tcW w:type="dxa" w:w="5443"/>
            <w:vAlign w:val="center"/>
            <w:tcBorders>
              <w:top w:val="single" w:sz="4" w:color="000000"/>
              <w:bottom w:val="single" w:sz="4" w:color="000000"/>
              <w:left w:val="single" w:sz="4" w:color="000000"/>
              <w:right w:val="single" w:sz="4" w:color="000000"/>
            </w:tcBorders>
            <w:shd w:fill="7F7F7F"/>
          </w:tcPr>
          <w:p>
            <w:pPr>
              <w:spacing w:before="0" w:after="0"/>
              <w:jc w:val="center"/>
            </w:pPr>
            <w:r>
              <w:rPr>
                <w:rFonts w:ascii="Calibri" w:hAnsi="Calibri"/>
                <w:b/>
                <w:color w:val="FFFFFF"/>
                <w:sz w:val="24"/>
              </w:rPr>
              <w:t>AÇÃO ORÇAMENTÁRIA</w:t>
            </w:r>
          </w:p>
        </w:tc>
        <w:tc>
          <w:tcPr>
            <w:tcW w:type="dxa" w:w="3628"/>
            <w:vAlign w:val="center"/>
            <w:tcBorders>
              <w:top w:val="single" w:sz="4" w:color="000000"/>
              <w:bottom w:val="single" w:sz="4" w:color="000000"/>
              <w:left w:val="single" w:sz="4" w:color="000000"/>
              <w:right w:val="single" w:sz="4" w:color="000000"/>
            </w:tcBorders>
            <w:shd w:fill="7F7F7F"/>
          </w:tcPr>
          <w:p>
            <w:pPr>
              <w:spacing w:before="0" w:after="0"/>
              <w:jc w:val="center"/>
            </w:pPr>
            <w:r>
              <w:rPr>
                <w:rFonts w:ascii="Calibri" w:hAnsi="Calibri"/>
                <w:b/>
                <w:color w:val="FFFFFF"/>
                <w:sz w:val="24"/>
              </w:rPr>
              <w:t>DESPESA REALIZADA 2024 (R$)</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color w:val="000000"/>
                <w:sz w:val="24"/>
              </w:rPr>
              <w:t>2025 - Gestão de Serviços De TIC</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color w:val="000000"/>
                <w:sz w:val="24"/>
              </w:rPr>
              <w:t>192.893.477,53</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color w:val="000000"/>
                <w:sz w:val="24"/>
              </w:rPr>
              <w:t>2055 - Auxílios Concedidos a Magistrados e Servidores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color w:val="000000"/>
                <w:sz w:val="24"/>
              </w:rPr>
              <w:t>158.320.267,00</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color w:val="000000"/>
                <w:sz w:val="24"/>
              </w:rPr>
              <w:t>2091 - Obras e Gestão Predial</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color w:val="000000"/>
                <w:sz w:val="24"/>
              </w:rPr>
              <w:t>520.565.747,04</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color w:val="000000"/>
                <w:sz w:val="24"/>
              </w:rPr>
              <w:t>2109 - Formação, Aperfeiçoamento e Desenvolvimento Contínuo De Pessoas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color w:val="000000"/>
                <w:sz w:val="24"/>
              </w:rPr>
              <w:t>4.421.386,45</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color w:val="000000"/>
                <w:sz w:val="24"/>
              </w:rPr>
              <w:t>4395 - Processamento Judiciário</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color w:val="000000"/>
                <w:sz w:val="24"/>
              </w:rPr>
              <w:t>1.398.500.019,48</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shd w:fill="BFBFBF"/>
          </w:tcPr>
          <w:p>
            <w:pPr>
              <w:spacing w:before="0" w:after="0"/>
              <w:jc w:val="center"/>
            </w:pPr>
            <w:r>
              <w:rPr>
                <w:rFonts w:ascii="Calibri" w:hAnsi="Calibri"/>
                <w:b/>
                <w:color w:val="000000"/>
                <w:sz w:val="24"/>
              </w:rPr>
              <w:t>TOTAL</w:t>
            </w:r>
          </w:p>
        </w:tc>
        <w:tc>
          <w:tcPr>
            <w:tcW w:type="dxa" w:w="3628"/>
            <w:vAlign w:val="center"/>
            <w:tcBorders>
              <w:top w:val="single" w:sz="4" w:color="000000"/>
              <w:bottom w:val="single" w:sz="4" w:color="000000"/>
              <w:left w:val="single" w:sz="4" w:color="000000"/>
              <w:right w:val="single" w:sz="4" w:color="000000"/>
            </w:tcBorders>
            <w:shd w:fill="BFBFBF"/>
          </w:tcPr>
          <w:p>
            <w:pPr>
              <w:spacing w:before="0" w:after="0"/>
              <w:jc w:val="center"/>
            </w:pPr>
            <w:r>
              <w:rPr>
                <w:rFonts w:ascii="Calibri" w:hAnsi="Calibri"/>
                <w:b/>
                <w:color w:val="000000"/>
                <w:sz w:val="24"/>
              </w:rPr>
              <w:t>2.274.700.897,50</w:t>
            </w:r>
          </w:p>
        </w:tc>
      </w:tr>
    </w:tbl>
    <w:p>
      <w:pPr>
        <w:spacing w:before="120" w:after="300"/>
        <w:jc w:val="left"/>
      </w:pPr>
      <w:r>
        <w:rPr>
          <w:rFonts w:ascii="Calibri" w:hAnsi="Calibri"/>
          <w:b w:val="0"/>
          <w:sz w:val="16"/>
        </w:rPr>
        <w:t>Tabela 09 - Despesa realizada por ação (Unidade 1031). Fonte: Armazém de Informações - BO SIAFI/MG</w:t>
      </w:r>
    </w:p>
    <w:p>
      <w:pPr>
        <w:jc w:val="left"/>
      </w:pPr>
      <w:r>
        <w:drawing>
          <wp:inline xmlns:a="http://schemas.openxmlformats.org/drawingml/2006/main" xmlns:pic="http://schemas.openxmlformats.org/drawingml/2006/picture">
            <wp:extent cx="5940000" cy="3009600"/>
            <wp:docPr id="8" name="Picture 8"/>
            <wp:cNvGraphicFramePr>
              <a:graphicFrameLocks noChangeAspect="1"/>
            </wp:cNvGraphicFramePr>
            <a:graphic>
              <a:graphicData uri="http://schemas.openxmlformats.org/drawingml/2006/picture">
                <pic:pic>
                  <pic:nvPicPr>
                    <pic:cNvPr id="0" name="figura_09.png"/>
                    <pic:cNvPicPr/>
                  </pic:nvPicPr>
                  <pic:blipFill>
                    <a:blip r:embed="rId17"/>
                    <a:stretch>
                      <a:fillRect/>
                    </a:stretch>
                  </pic:blipFill>
                  <pic:spPr>
                    <a:xfrm>
                      <a:off x="0" y="0"/>
                      <a:ext cx="5940000" cy="3009600"/>
                    </a:xfrm>
                    <a:prstGeom prst="rect"/>
                  </pic:spPr>
                </pic:pic>
              </a:graphicData>
            </a:graphic>
          </wp:inline>
        </w:drawing>
      </w:r>
    </w:p>
    <w:p>
      <w:pPr>
        <w:spacing w:before="120" w:after="0"/>
        <w:jc w:val="left"/>
      </w:pPr>
      <w:r>
        <w:rPr>
          <w:rFonts w:ascii="Calibri" w:hAnsi="Calibri"/>
          <w:b w:val="0"/>
          <w:sz w:val="16"/>
        </w:rPr>
        <w:t>Figura 09 - Desempenho da ação por programa (Unidade 4031).</w:t>
      </w:r>
    </w:p>
    <w:p>
      <w:pPr>
        <w:spacing w:after="600"/>
        <w:jc w:val="left"/>
      </w:pPr>
      <w:r>
        <w:rPr>
          <w:rFonts w:ascii="Calibri" w:hAnsi="Calibri"/>
          <w:sz w:val="16"/>
        </w:rPr>
        <w:t>Fonte: Sigplan.</w:t>
      </w:r>
    </w:p>
    <w:p>
      <w:r>
        <w:br w:type="page"/>
      </w:r>
    </w:p>
    <w:p>
      <w:pPr>
        <w:pStyle w:val="Heading3"/>
        <w:spacing w:after="400"/>
      </w:pPr>
      <w:r>
        <w:t>3.5.2 Orçamento 2025</w:t>
      </w:r>
    </w:p>
    <w:p>
      <w:pPr>
        <w:spacing w:line="360" w:lineRule="auto" w:after="160"/>
        <w:jc w:val="both"/>
      </w:pPr>
      <w:r>
        <w:t>O orçamento do TJMG para o Exercício de 2025 apresenta a estimativa de receitas e programação de despesas por meio das Unidades Orçamentárias 1031 – Tribunal de Justiça do Estado de Minas Gerais – TJMG e 4031 – Fundo Especial do Poder Judiciário do Estado de Minas Gerais – FEPJ.</w:t>
      </w:r>
    </w:p>
    <w:p>
      <w:pPr>
        <w:spacing w:line="360" w:lineRule="auto" w:after="160"/>
        <w:jc w:val="both"/>
      </w:pPr>
      <w:r>
        <w:t>O valor total estimado de despesas para a Unidade Orçamentária 1031 é de R$ 11.110.261.852,00 (onze bilhões cento e dez milhões duzentos e sessenta e um mil oitocentos e cinquenta e dois reais), conforme disposto na Lei Orçamentária Anual nº 25.124, de 30 de dezembro de 2024.</w:t>
      </w:r>
    </w:p>
    <w:p>
      <w:pPr>
        <w:spacing w:line="360" w:lineRule="auto" w:after="160"/>
        <w:jc w:val="both"/>
      </w:pPr>
      <w:r>
        <w:t>Com relação à Unidade Orçamentária 4031, a estimativa de despesas perfaz o total de R$ 3.615.335.151,00 (três bilhões seiscentos e trinta e cinco milhões cento e cinquenta e um mil reais), também em conformidade com o que estabelece a referida Lei Orçamentária Anual nº 25.124, de 30 de dezembro de 2024.</w:t>
      </w:r>
    </w:p>
    <w:p>
      <w:pPr>
        <w:spacing w:line="360" w:lineRule="auto" w:after="160"/>
        <w:jc w:val="both"/>
      </w:pPr>
      <w:r>
        <w:t>Na UO 1031 – TJMG são realizados os pagamentos relativos à folha de pessoal, bem como são pagos, prioritariamente, os auxílios concedidos a magistrados e servidores.</w:t>
      </w:r>
    </w:p>
    <w:p>
      <w:pPr>
        <w:spacing w:line="360" w:lineRule="auto" w:after="160"/>
        <w:jc w:val="both"/>
      </w:pPr>
      <w:r>
        <w:t>Por sua vez, por meio da UO 4031 – FEPJ são efetivados os gastos referentes a outras despesas correntes (terceirização de mão-de-obra, estagiários, juízes leigos, verbas de transporte devidas aos Oficiais de Justiça e de Cartório, água, energia elétrica, telefonia, locação de imóveis, material de consumo, dentre outras), a investimentos (obras e reformas, aquisição de imóveis, equipamentos, veículos, mobiliário etc.).</w:t>
      </w:r>
    </w:p>
    <w:p>
      <w:pPr>
        <w:spacing w:line="360" w:lineRule="auto" w:after="160"/>
        <w:jc w:val="both"/>
      </w:pPr>
      <w:r>
        <w:t>As atividades e os projetos planejados anualmente são estruturados em programas que, por sua vez, são desdobrados em ações orçamentárias.</w:t>
      </w:r>
    </w:p>
    <w:p>
      <w:pPr>
        <w:spacing w:line="360" w:lineRule="auto" w:after="160"/>
        <w:jc w:val="both"/>
      </w:pPr>
      <w:r>
        <w:t>Abaixo, apresenta-se a distribuição por ação orçamentária do Orçamento de 2025.</w:t>
      </w:r>
    </w:p>
    <w:p>
      <w:r>
        <w:br w:type="page"/>
      </w:r>
    </w:p>
    <w:tbl>
      <w:tblPr>
        <w:tblStyle w:val="TableGrid"/>
        <w:tblW w:type="auto" w:w="0"/>
        <w:tblLook w:firstColumn="1" w:firstRow="1" w:lastColumn="0" w:lastRow="0" w:noHBand="0" w:noVBand="1" w:val="04A0"/>
      </w:tblPr>
      <w:tblGrid>
        <w:gridCol w:w="5443"/>
        <w:gridCol w:w="3628"/>
      </w:tblGrid>
      <w:tr>
        <w:trPr>
          <w:trHeight w:val="340" w:hRule="atLeast"/>
        </w:trPr>
        <w:tc>
          <w:tcPr>
            <w:tcW w:type="dxa" w:w="9071"/>
            <w:gridSpan w:val="2"/>
            <w:vAlign w:val="center"/>
            <w:shd w:fill="7F7F7F"/>
            <w:vAlign w:val="center"/>
          </w:tcPr>
          <w:p>
            <w:pPr>
              <w:spacing w:before="0" w:after="0"/>
              <w:jc w:val="center"/>
            </w:pPr>
            <w:r>
              <w:rPr>
                <w:rFonts w:ascii="Calibri" w:hAnsi="Calibri"/>
                <w:b/>
                <w:color w:val="FFFFFF"/>
                <w:sz w:val="24"/>
              </w:rPr>
              <w:t>UO 1031 – TJMG</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color w:val="000000"/>
                <w:sz w:val="24"/>
              </w:rPr>
              <w:t>Ação Orçamentária</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color w:val="000000"/>
                <w:sz w:val="24"/>
              </w:rPr>
              <w:t>Ação Orçamentária</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b w:val="0"/>
                <w:color w:val="000000"/>
                <w:sz w:val="24"/>
              </w:rPr>
              <w:t>7004 - Precatórios e Sentenças Judiciais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val="0"/>
                <w:color w:val="000000"/>
                <w:sz w:val="24"/>
              </w:rPr>
              <w:t>7004 - Precatórios e Sentenças Judiciais</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b w:val="0"/>
                <w:color w:val="000000"/>
                <w:sz w:val="24"/>
              </w:rPr>
              <w:t>7006 - Proventos de Inativos Civis e Pensionistas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val="0"/>
                <w:color w:val="000000"/>
                <w:sz w:val="24"/>
              </w:rPr>
              <w:t>7006 - Proventos de Inativos Civis e Pensionistas</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b w:val="0"/>
                <w:color w:val="000000"/>
                <w:sz w:val="24"/>
              </w:rPr>
              <w:t>2053 - Remuneração de Magistrados da Ativa</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val="0"/>
                <w:color w:val="000000"/>
                <w:sz w:val="24"/>
              </w:rPr>
              <w:t>2053 - Remuneração de Magistrados da Ativa</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b w:val="0"/>
                <w:color w:val="000000"/>
                <w:sz w:val="24"/>
              </w:rPr>
              <w:t>2054 - Remuneração de Servidores da Ativa</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val="0"/>
                <w:color w:val="000000"/>
                <w:sz w:val="24"/>
              </w:rPr>
              <w:t>2054 - Remuneração de Servidores da Ativa</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shd w:fill="BFBFBF"/>
          </w:tcPr>
          <w:p>
            <w:pPr>
              <w:spacing w:before="0" w:after="0"/>
              <w:jc w:val="center"/>
            </w:pPr>
            <w:r>
              <w:rPr>
                <w:rFonts w:ascii="Calibri" w:hAnsi="Calibri"/>
                <w:b/>
                <w:color w:val="000000"/>
                <w:sz w:val="24"/>
              </w:rPr>
              <w:t>VALOR TOTAL – UO 1031</w:t>
            </w:r>
          </w:p>
        </w:tc>
        <w:tc>
          <w:tcPr>
            <w:tcW w:type="dxa" w:w="3628"/>
            <w:vAlign w:val="center"/>
            <w:tcBorders>
              <w:top w:val="single" w:sz="4" w:color="000000"/>
              <w:bottom w:val="single" w:sz="4" w:color="000000"/>
              <w:left w:val="single" w:sz="4" w:color="000000"/>
              <w:right w:val="single" w:sz="4" w:color="000000"/>
            </w:tcBorders>
            <w:shd w:fill="BFBFBF"/>
          </w:tcPr>
          <w:p>
            <w:pPr>
              <w:spacing w:before="0" w:after="0"/>
              <w:jc w:val="center"/>
            </w:pPr>
            <w:r>
              <w:rPr>
                <w:rFonts w:ascii="Calibri" w:hAnsi="Calibri"/>
                <w:b/>
                <w:color w:val="000000"/>
                <w:sz w:val="24"/>
              </w:rPr>
              <w:t>VALOR TOTAL – UO 1031</w:t>
            </w:r>
          </w:p>
        </w:tc>
      </w:tr>
      <w:tr>
        <w:trPr>
          <w:trHeight w:val="340" w:hRule="atLeast"/>
        </w:trPr>
        <w:tc>
          <w:tcPr>
            <w:tcW w:type="dxa" w:w="9071"/>
            <w:gridSpan w:val="2"/>
            <w:vAlign w:val="center"/>
            <w:shd w:fill="7F7F7F"/>
            <w:vAlign w:val="center"/>
          </w:tcPr>
          <w:p>
            <w:pPr>
              <w:spacing w:before="0" w:after="0"/>
              <w:jc w:val="center"/>
            </w:pPr>
            <w:r>
              <w:rPr>
                <w:rFonts w:ascii="Calibri" w:hAnsi="Calibri"/>
                <w:b/>
                <w:color w:val="FFFFFF"/>
                <w:sz w:val="24"/>
              </w:rPr>
              <w:t>UO 4031 – FEPJ</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color w:val="000000"/>
                <w:sz w:val="24"/>
              </w:rPr>
              <w:t>Ação Orçamentária</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color w:val="000000"/>
                <w:sz w:val="24"/>
              </w:rPr>
              <w:t>Ação Orçamentária</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b w:val="0"/>
                <w:color w:val="000000"/>
                <w:sz w:val="24"/>
              </w:rPr>
              <w:t>2025 - Gestão de Serviços De TIC</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val="0"/>
                <w:color w:val="000000"/>
                <w:sz w:val="24"/>
              </w:rPr>
              <w:t>2025 - Gestão de Serviços De TIC</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b w:val="0"/>
                <w:color w:val="000000"/>
                <w:sz w:val="24"/>
              </w:rPr>
              <w:t>2055 - Auxílios Concedidos a Magistrados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val="0"/>
                <w:color w:val="000000"/>
                <w:sz w:val="24"/>
              </w:rPr>
              <w:t>2055 - Auxílios Concedidos a Magistrados</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b w:val="0"/>
                <w:color w:val="000000"/>
                <w:sz w:val="24"/>
              </w:rPr>
              <w:t>2091 - Obras e Gestão Predial</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val="0"/>
                <w:color w:val="000000"/>
                <w:sz w:val="24"/>
              </w:rPr>
              <w:t>2091 - Obras e Gestão Predial</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b w:val="0"/>
                <w:color w:val="000000"/>
                <w:sz w:val="24"/>
              </w:rPr>
              <w:t>2109 - Formação, Aperfeiçoamento e Desenvolvimento Contínuo De Pessoas</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val="0"/>
                <w:color w:val="000000"/>
                <w:sz w:val="24"/>
              </w:rPr>
              <w:t>2109 - Formação, Aperfeiçoamento e Desenvolvimento Contínuo De Pessoas</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tcPr>
          <w:p>
            <w:pPr>
              <w:spacing w:before="0" w:after="0"/>
              <w:jc w:val="left"/>
            </w:pPr>
            <w:r>
              <w:rPr>
                <w:rFonts w:ascii="Calibri" w:hAnsi="Calibri"/>
                <w:b w:val="0"/>
                <w:color w:val="000000"/>
                <w:sz w:val="24"/>
              </w:rPr>
              <w:t>4395 - Processamento Judiciário</w:t>
            </w:r>
          </w:p>
        </w:tc>
        <w:tc>
          <w:tcPr>
            <w:tcW w:type="dxa" w:w="3628"/>
            <w:vAlign w:val="center"/>
            <w:tcBorders>
              <w:top w:val="single" w:sz="4" w:color="000000"/>
              <w:bottom w:val="single" w:sz="4" w:color="000000"/>
              <w:left w:val="single" w:sz="4" w:color="000000"/>
              <w:right w:val="single" w:sz="4" w:color="000000"/>
            </w:tcBorders>
          </w:tcPr>
          <w:p>
            <w:pPr>
              <w:spacing w:before="0" w:after="0"/>
              <w:jc w:val="center"/>
            </w:pPr>
            <w:r>
              <w:rPr>
                <w:rFonts w:ascii="Calibri" w:hAnsi="Calibri"/>
                <w:b w:val="0"/>
                <w:color w:val="000000"/>
                <w:sz w:val="24"/>
              </w:rPr>
              <w:t>4395 - Processamento Judiciário</w:t>
            </w:r>
          </w:p>
        </w:tc>
      </w:tr>
      <w:tr>
        <w:trPr>
          <w:trHeight w:val="340" w:hRule="atLeast"/>
        </w:trPr>
        <w:tc>
          <w:tcPr>
            <w:tcW w:type="dxa" w:w="5443"/>
            <w:vAlign w:val="center"/>
            <w:tcBorders>
              <w:top w:val="single" w:sz="4" w:color="000000"/>
              <w:bottom w:val="single" w:sz="4" w:color="000000"/>
              <w:left w:val="single" w:sz="4" w:color="000000"/>
              <w:right w:val="single" w:sz="4" w:color="000000"/>
            </w:tcBorders>
            <w:shd w:fill="BFBFBF"/>
          </w:tcPr>
          <w:p>
            <w:pPr>
              <w:spacing w:before="0" w:after="0"/>
              <w:jc w:val="center"/>
            </w:pPr>
            <w:r>
              <w:rPr>
                <w:rFonts w:ascii="Calibri" w:hAnsi="Calibri"/>
                <w:b/>
                <w:color w:val="000000"/>
                <w:sz w:val="24"/>
              </w:rPr>
              <w:t>VALOR TOTAL – UO 4031</w:t>
            </w:r>
          </w:p>
        </w:tc>
        <w:tc>
          <w:tcPr>
            <w:tcW w:type="dxa" w:w="3628"/>
            <w:vAlign w:val="center"/>
            <w:tcBorders>
              <w:top w:val="single" w:sz="4" w:color="000000"/>
              <w:bottom w:val="single" w:sz="4" w:color="000000"/>
              <w:left w:val="single" w:sz="4" w:color="000000"/>
              <w:right w:val="single" w:sz="4" w:color="000000"/>
            </w:tcBorders>
            <w:shd w:fill="BFBFBF"/>
          </w:tcPr>
          <w:p>
            <w:pPr>
              <w:spacing w:before="0" w:after="0"/>
              <w:jc w:val="center"/>
            </w:pPr>
            <w:r>
              <w:rPr>
                <w:rFonts w:ascii="Calibri" w:hAnsi="Calibri"/>
                <w:b/>
                <w:color w:val="000000"/>
                <w:sz w:val="24"/>
              </w:rPr>
              <w:t>VALOR TOTAL – UO 4031</w:t>
            </w:r>
          </w:p>
        </w:tc>
      </w:tr>
    </w:tbl>
    <w:p>
      <w:pPr>
        <w:spacing w:before="120" w:after="300"/>
        <w:jc w:val="left"/>
      </w:pPr>
      <w:r>
        <w:rPr>
          <w:rFonts w:ascii="Calibri" w:hAnsi="Calibri"/>
          <w:b w:val="0"/>
          <w:sz w:val="16"/>
        </w:rPr>
        <w:t>Tabela 11 - Orçamento 2024 por ação orçamentária. Fonte: Lei Orçamentária Anual nº 24.678, de 30/12/2024. Fonte: Lei Orçamentária Anual nº 25.124, de 30/12/2024.</w:t>
      </w:r>
    </w:p>
    <w:p>
      <w:pPr>
        <w:spacing w:line="360" w:lineRule="auto" w:after="160"/>
        <w:jc w:val="both"/>
      </w:pPr>
      <w:r>
        <w:t>No tocante ao processo de elaboração do Orçamento para o Exercício de 2025, importa esclarecer que foram utilizados parâmetros para formulação da proposta orçamentária do TJMG, quais sejam:</w:t>
      </w:r>
    </w:p>
    <w:p>
      <w:pPr>
        <w:pStyle w:val="ListBullet"/>
        <w:spacing w:line="360" w:lineRule="auto" w:after="80"/>
        <w:jc w:val="both"/>
      </w:pPr>
      <w:r>
        <w:t>Lei Estadual nº 24.945, de 02 de agosto de 2024 (Lei de Diretrizes Orçamentárias) e conjunto normativo relacionado ao tema;</w:t>
      </w:r>
    </w:p>
    <w:p>
      <w:pPr>
        <w:pStyle w:val="ListBullet"/>
        <w:spacing w:line="360" w:lineRule="auto" w:after="80"/>
        <w:jc w:val="both"/>
      </w:pPr>
      <w:r>
        <w:t>Diretrizes da Presidência do TJMG;</w:t>
      </w:r>
    </w:p>
    <w:p>
      <w:pPr>
        <w:pStyle w:val="ListBullet"/>
        <w:spacing w:line="360" w:lineRule="auto" w:after="80"/>
        <w:jc w:val="both"/>
      </w:pPr>
      <w:r>
        <w:t>Receita Corrente Líquida estimada para o Exercício de 2025, conforme informação do Poder Executivo;</w:t>
      </w:r>
    </w:p>
    <w:p>
      <w:pPr>
        <w:pStyle w:val="ListBullet"/>
        <w:spacing w:line="360" w:lineRule="auto" w:after="80"/>
        <w:jc w:val="both"/>
      </w:pPr>
      <w:r>
        <w:t>Estimativa de receitas do Fundo Especial do Poder Judiciário - FEPJ (UO 4031) realizada pela DIRFIN;</w:t>
      </w:r>
    </w:p>
    <w:p>
      <w:pPr>
        <w:pStyle w:val="ListBullet"/>
        <w:spacing w:line="360" w:lineRule="auto" w:after="80"/>
        <w:jc w:val="both"/>
      </w:pPr>
      <w:r>
        <w:t>Plano de Obras;</w:t>
      </w:r>
    </w:p>
    <w:p>
      <w:pPr>
        <w:pStyle w:val="ListBullet"/>
        <w:spacing w:line="360" w:lineRule="auto" w:after="80"/>
        <w:jc w:val="both"/>
      </w:pPr>
      <w:r>
        <w:t>Programações de despesas informadas pelas áreas gestoras (UO 4031 – FEPJ), unidades administrativas, entendidas como aquelas responsáveis pela programação e execução orçamentária e financeira das despesas referentes às suas respectivas áreas de atuação;</w:t>
      </w:r>
    </w:p>
    <w:p>
      <w:pPr>
        <w:pStyle w:val="ListBullet"/>
        <w:spacing w:line="360" w:lineRule="auto" w:after="80"/>
        <w:jc w:val="both"/>
      </w:pPr>
      <w:r>
        <w:t>Estimativas de crescimento vegetativo para composição da programação das despesas com pessoal e encargos sociais;</w:t>
      </w:r>
    </w:p>
    <w:p>
      <w:pPr>
        <w:pStyle w:val="ListBullet"/>
        <w:spacing w:line="360" w:lineRule="auto" w:after="80"/>
        <w:jc w:val="both"/>
      </w:pPr>
      <w:r>
        <w:t>Normativos do CNJ, especialmente as Resoluções nº 195/14 e nº 198/14;</w:t>
      </w:r>
    </w:p>
    <w:p>
      <w:pPr>
        <w:pStyle w:val="ListBullet"/>
        <w:spacing w:line="360" w:lineRule="auto" w:after="240"/>
        <w:jc w:val="both"/>
      </w:pPr>
      <w:r>
        <w:t>Projeções macroeconômicas.</w:t>
      </w:r>
    </w:p>
    <w:p>
      <w:pPr>
        <w:spacing w:line="360" w:lineRule="auto" w:after="160"/>
        <w:jc w:val="both"/>
      </w:pPr>
      <w:r>
        <w:t>Entre os parâmetros utilizados para a composição das despesas relativas ao Fundo Especial do Poder Judiciário, merece destaque o programa de aperfeiçoamento e Gestão Orçamentária em andamento, que trouxe e deverá trazer melhorias à gestão do Orçamento. O Programa consiste em intervenções para a melhoria de processos e/ou ferramentas nas diversas fases da gestão orçamentária realizada no âmbito do TJMG.</w:t>
      </w:r>
    </w:p>
    <w:p>
      <w:pPr>
        <w:spacing w:line="360" w:lineRule="auto" w:after="160"/>
        <w:jc w:val="both"/>
      </w:pPr>
      <w:r>
        <w:t>Destacam-se os normativos e diretrizes que fundamentam a instituição do referido programa:</w:t>
      </w:r>
    </w:p>
    <w:p>
      <w:pPr>
        <w:pStyle w:val="ListBullet"/>
        <w:spacing w:line="360" w:lineRule="auto" w:after="80"/>
        <w:jc w:val="both"/>
      </w:pPr>
      <w:r>
        <w:t>Resoluções CNJ 195/2014, 325/2020 e 347/2020;</w:t>
      </w:r>
    </w:p>
    <w:p>
      <w:pPr>
        <w:pStyle w:val="ListBullet"/>
        <w:spacing w:line="360" w:lineRule="auto" w:after="80"/>
        <w:jc w:val="both"/>
      </w:pPr>
      <w:r>
        <w:t>Recomendação CNJ nº 147/2023;</w:t>
      </w:r>
    </w:p>
    <w:p>
      <w:pPr>
        <w:pStyle w:val="ListBullet"/>
        <w:spacing w:line="360" w:lineRule="auto" w:after="80"/>
        <w:jc w:val="both"/>
      </w:pPr>
      <w:r>
        <w:t>Lei nº 14.133/2021 – Nova Lei de Licitações e Contratos;</w:t>
      </w:r>
    </w:p>
    <w:p>
      <w:pPr>
        <w:pStyle w:val="ListBullet"/>
        <w:spacing w:line="360" w:lineRule="auto" w:after="240"/>
        <w:jc w:val="both"/>
      </w:pPr>
      <w:r>
        <w:t>Inspeção CNJ – TJMG 2023.</w:t>
      </w:r>
    </w:p>
    <w:p>
      <w:pPr>
        <w:spacing w:line="360" w:lineRule="auto" w:after="160"/>
        <w:jc w:val="both"/>
      </w:pPr>
      <w:r>
        <w:t>No Exercício de 2024, cumpre destacar que a Proposta Orçamentária relativa ao Exercício de 2025 foi construída a partir de uma mudança de metodologia de fixação de despesas, sendo:</w:t>
      </w:r>
    </w:p>
    <w:p>
      <w:pPr>
        <w:pStyle w:val="ListBullet"/>
        <w:spacing w:line="360" w:lineRule="auto" w:after="80"/>
        <w:jc w:val="both"/>
      </w:pPr>
      <w:r>
        <w:t>Programação por contratos vigentes e contínuos;</w:t>
      </w:r>
    </w:p>
    <w:p>
      <w:pPr>
        <w:pStyle w:val="ListBullet"/>
        <w:spacing w:line="360" w:lineRule="auto" w:after="80"/>
        <w:jc w:val="both"/>
      </w:pPr>
      <w:r>
        <w:t>Ferramentas de colaboração online para a Programação de Despesas;</w:t>
      </w:r>
    </w:p>
    <w:p>
      <w:pPr>
        <w:pStyle w:val="ListBullet"/>
        <w:spacing w:line="360" w:lineRule="auto" w:after="240"/>
        <w:jc w:val="both"/>
      </w:pPr>
      <w:r>
        <w:t>Informações sobre vinculação com as iniciativas estratégicas.</w:t>
      </w:r>
    </w:p>
    <w:p>
      <w:pPr>
        <w:spacing w:line="360" w:lineRule="auto" w:after="160"/>
        <w:jc w:val="both"/>
      </w:pPr>
      <w:r>
        <w:t>A referida proposta, após aprovação do Órgão Especial, foi encaminhada pelo Exmo. Senhor Presidente, Desembargador Luiz Carlos de Azevedo Corrêa Junior, ao Poder Executivo, no início de setembro de 2024, tendo sido devidamente registrada no Sistema de Informações Gerenciais e de Planejamento – SIGPlan e no Sistema Orçamentário – SISOR, que compõem o Portal de Planejamento e Orçamento do Estado de Minas Gerais.</w:t>
      </w:r>
    </w:p>
    <w:p>
      <w:pPr>
        <w:pStyle w:val="Heading2"/>
        <w:spacing w:after="400"/>
      </w:pPr>
      <w:r>
        <w:t>3.6 Planejamento Estratégico 2021-2026</w:t>
      </w:r>
    </w:p>
    <w:p>
      <w:pPr>
        <w:spacing w:line="360" w:lineRule="auto" w:after="160"/>
        <w:jc w:val="both"/>
      </w:pPr>
      <w:r>
        <w:t>O Conselho Nacional de Justiça aprovou a Estratégia Nacional do Poder Judiciário para o sexênio 2021/2026, por meio da Resolução nº 325 de 29 de junho de 2020. Em conformidade com a Estratégia Nacional do Poder Judiciário, o TJMG instituiu a Resolução n° 952, 27 de novembro de 2020, dispondo sobre o Planejamento e a Gestão Estratégica, no âmbito do Tribunal de Justiça do Estado de Minas Gerais, para os anos de 2021 a 2026 e apontando os componentes do Planejamento do TJMG, como:</w:t>
      </w:r>
    </w:p>
    <w:p>
      <w:pPr>
        <w:pStyle w:val="ListBullet"/>
        <w:spacing w:line="360" w:lineRule="auto" w:after="80"/>
        <w:jc w:val="both"/>
      </w:pPr>
      <w:r>
        <w:t>Identidade Organizacional: que define a missão, visão e valores deste Tribunal;</w:t>
      </w:r>
    </w:p>
    <w:p>
      <w:pPr>
        <w:pStyle w:val="ListBullet"/>
        <w:spacing w:line="360" w:lineRule="auto" w:after="80"/>
        <w:jc w:val="both"/>
      </w:pPr>
      <w:r>
        <w:t>Mapa Estratégico: que traduz a identidade organizacional em um conjunto de Macrodesafios que direcionam o comportamento e o desempenho institucionais;</w:t>
      </w:r>
    </w:p>
    <w:p>
      <w:pPr>
        <w:pStyle w:val="ListBullet"/>
        <w:spacing w:line="360" w:lineRule="auto" w:after="80"/>
        <w:jc w:val="both"/>
      </w:pPr>
      <w:r>
        <w:t>Painel Estratégico: que deve conter os indicadores institucionais, as metas nacionais, as metas institucionais e, no que couber, os indicadores nacionais;</w:t>
      </w:r>
    </w:p>
    <w:p>
      <w:pPr>
        <w:pStyle w:val="ListBullet"/>
        <w:spacing w:line="360" w:lineRule="auto" w:after="240"/>
        <w:jc w:val="both"/>
      </w:pPr>
      <w:r>
        <w:t>Quadro de Iniciativas: que explicita os programas, projetos e ações estratégicos para a Instituição, visto a contribuição para o alcance as metas estabelecidas.</w:t>
      </w:r>
    </w:p>
    <w:p>
      <w:pPr>
        <w:spacing w:line="360" w:lineRule="auto" w:after="160"/>
        <w:jc w:val="both"/>
      </w:pPr>
      <w:r>
        <w:t>No Planejamento Estratégico de 2024, as iniciativas e metas, aprovadas pelo Comitê de Governança e Gestão Estratégica visando à superação dos Macrodesafios constantes no Mapa Estratégico, foram disciplinadas na Portaria Conjunta 1.550/PR/2024 alterada pela Portaria Conjunta 1.624/PR/2024, consolidando:</w:t>
      </w:r>
    </w:p>
    <w:p>
      <w:r>
        <w:t>[ERRO: MAPEAMENTO DE IMAGEM AUSENTE PARA: Figura 10 - Esquema do Plano Estratégico 2024.]</w:t>
      </w:r>
    </w:p>
    <w:p>
      <w:pPr>
        <w:spacing w:before="120" w:after="0"/>
        <w:jc w:val="left"/>
      </w:pPr>
      <w:r>
        <w:rPr>
          <w:rFonts w:ascii="Calibri" w:hAnsi="Calibri"/>
          <w:b w:val="0"/>
          <w:sz w:val="16"/>
        </w:rPr>
        <w:t>Figura 10 - Esquema do Plano Estratégico 2024.</w:t>
      </w:r>
    </w:p>
    <w:p>
      <w:pPr>
        <w:spacing w:line="360" w:lineRule="auto" w:after="160"/>
        <w:jc w:val="both"/>
      </w:pPr>
      <w:r>
        <w:t>O Plano Estratégico do TJMG para 2024 pode ser acessado no link:</w:t>
      </w:r>
    </w:p>
    <w:p>
      <w:pPr>
        <w:spacing w:line="360" w:lineRule="auto" w:after="160"/>
        <w:jc w:val="both"/>
      </w:pPr>
      <w:r>
        <w:t>https://www.tjmg.jus.br/portal-tjmg/transparencia/planejamento-estrategico/plano-estrategico-2024.htm</w:t>
      </w:r>
    </w:p>
    <w:p>
      <w:pPr>
        <w:pStyle w:val="Heading3"/>
        <w:spacing w:after="400"/>
      </w:pPr>
      <w:r>
        <w:t>3.6.1 Identidade Organizacional</w:t>
      </w:r>
    </w:p>
    <w:p>
      <w:pPr>
        <w:spacing w:line="360" w:lineRule="auto" w:after="160"/>
        <w:jc w:val="both"/>
      </w:pPr>
      <w:r>
        <w:t>Ao estabelecer o Planejamento Estratégico para o período 2021/2026, o Tribunal adotou sua identidade organizacional como forma de nortear a atuação institucional e de garantir a efetiva prestação jurisdicional, possibilitando que seus magistrados, servidores, colaboradores e cidadãos saibam quais são, respectivamente, o propósito e a razão de existência do TJMG, o futuro desejado e os princípios que norteiam o comportamento e as ações da Instituição.</w:t>
      </w:r>
    </w:p>
    <w:p>
      <w:r>
        <w:t>[ERRO: MAPEAMENTO DE IMAGEM AUSENTE PARA: Figura 11 - Identidade organizacional do TJMG/DIRCOM]</w:t>
      </w:r>
    </w:p>
    <w:p>
      <w:pPr>
        <w:spacing w:before="120" w:after="0"/>
        <w:jc w:val="left"/>
      </w:pPr>
      <w:r>
        <w:rPr>
          <w:rFonts w:ascii="Calibri" w:hAnsi="Calibri"/>
          <w:b w:val="0"/>
          <w:sz w:val="16"/>
        </w:rPr>
        <w:t>Figura 11 - Identidade organizacional do TJMG/DIRCOM</w:t>
      </w:r>
    </w:p>
    <w:p>
      <w:pPr>
        <w:pStyle w:val="Heading3"/>
        <w:spacing w:after="400"/>
      </w:pPr>
      <w:r>
        <w:t>3.6.2 Mapa Estratégico</w:t>
      </w:r>
    </w:p>
    <w:p>
      <w:pPr>
        <w:spacing w:line="360" w:lineRule="auto" w:after="160"/>
        <w:jc w:val="both"/>
      </w:pPr>
      <w:r>
        <w:t>O TJMG utilizou a metodologia do Balanced Scorecard - BSC  para traduzir a missão e a estratégia da instituição em objetivos e iniciativas, organizados segundo diferentes perspectivas, consolidadas na figura gráfica do Mapa Estratégico.</w:t>
      </w:r>
    </w:p>
    <w:p>
      <w:pPr>
        <w:spacing w:line="360" w:lineRule="auto" w:after="160"/>
        <w:jc w:val="both"/>
      </w:pPr>
      <w:r>
        <w:t>Esses “pontos de vista” representam os fatores chave para uma visão ampliada da organização. Cada perspectiva engloba um conjunto de objetivos estratégicos ou Macrodesafios que representam os principais desafios da organização.</w:t>
      </w:r>
    </w:p>
    <w:p>
      <w:pPr>
        <w:spacing w:line="360" w:lineRule="auto" w:after="160"/>
        <w:jc w:val="both"/>
      </w:pPr>
      <w:r>
        <w:t>O Balanced Scorecard (BSC) é uma metodologia de gestão criada, em 1992, pelos professores Robert Kaplan e David Norton, da Harvard Business School, que em pouco tempo, ganhou adeptos no mundo todo e hoje é uma das principais metodologias de da gestão empresarial. A ideia central do BSC é enxergar de forma balanceada, todas as métricas da instituição, agrupadas em objetivos estratégicos e que tenham uma relação de causa e efeito entre elas.</w:t>
      </w:r>
    </w:p>
    <w:p>
      <w:r>
        <w:t>[ERRO: MAPEAMENTO DE IMAGEM AUSENTE PARA: Figura 12 - Mapa Estratégico do TJMG/ DIRCOM]</w:t>
      </w:r>
    </w:p>
    <w:p>
      <w:pPr>
        <w:spacing w:before="120" w:after="0"/>
        <w:jc w:val="left"/>
      </w:pPr>
      <w:r>
        <w:rPr>
          <w:rFonts w:ascii="Calibri" w:hAnsi="Calibri"/>
          <w:b w:val="0"/>
          <w:sz w:val="16"/>
        </w:rPr>
        <w:t>Figura 12 - Mapa Estratégico do TJMG/ DIRCOM</w:t>
      </w:r>
    </w:p>
    <w:p>
      <w:pPr>
        <w:pStyle w:val="Heading3"/>
        <w:spacing w:after="400"/>
      </w:pPr>
      <w:r>
        <w:t>3.6.3 Painel Estratégico</w:t>
      </w:r>
    </w:p>
    <w:p>
      <w:pPr>
        <w:spacing w:line="360" w:lineRule="auto" w:after="160"/>
        <w:jc w:val="both"/>
      </w:pPr>
      <w:r>
        <w:t>O painel estratégico consolida os indicadores acompanhados pelo TJMG no Ciclo de Planejamento Estratégico e suas respectivas metas, correlacionando-os aos Macrodesafios, iniciativas e área responsável pelo alcance dos resultados almejados.</w:t>
      </w:r>
    </w:p>
    <w:p>
      <w:pPr>
        <w:spacing w:line="360" w:lineRule="auto" w:after="160"/>
        <w:jc w:val="both"/>
      </w:pPr>
      <w:r>
        <w:t>Os indicadores, por sua vez, são ferramentas de gestão que permitem avaliar se o desempenho e os resultados obtidos pela Instituição estão em conformidade com o planejado.</w:t>
      </w:r>
    </w:p>
    <w:p>
      <w:pPr>
        <w:spacing w:line="360" w:lineRule="auto" w:after="160"/>
        <w:jc w:val="both"/>
      </w:pPr>
      <w:r>
        <w:t>Já a meta é um estágio evolutivo a ser atingido no futuro. O Planejamento Estratégico do TJMG contempla tanto Metas Nacionais, oriundas da Estratégia Nacional do Poder Judiciário aprovadas no Encontro Nacional do Poder Judiciário, quanto Metas Institucionais, definidas pelo próprio TJMG.</w:t>
      </w:r>
    </w:p>
    <w:p>
      <w:pPr>
        <w:spacing w:line="360" w:lineRule="auto" w:after="160"/>
        <w:jc w:val="both"/>
      </w:pPr>
      <w:r>
        <w:t>Acesse o Painel Estratégico:</w:t>
      </w:r>
    </w:p>
    <w:p>
      <w:pPr>
        <w:spacing w:line="360" w:lineRule="auto" w:after="160"/>
        <w:jc w:val="both"/>
      </w:pPr>
      <w:r>
        <w:t>https://www8.tjmg.jus.br/institucional/at/pdf/pc16242024.pdf</w:t>
      </w:r>
    </w:p>
    <w:p>
      <w:pPr>
        <w:pStyle w:val="Heading3"/>
        <w:spacing w:after="400"/>
      </w:pPr>
      <w:r>
        <w:t>3.6.4 Quadro de Iniciativas</w:t>
      </w:r>
    </w:p>
    <w:p>
      <w:pPr>
        <w:spacing w:line="360" w:lineRule="auto" w:after="160"/>
        <w:jc w:val="both"/>
      </w:pPr>
      <w:r>
        <w:t>As Iniciativas são programas, projetos e ações classificados como estratégicos devido a sua abrangência, complexidade, impacto orçamentário e financeiro, geração de resultados e relevância para o cumprimento da estratégia.</w:t>
      </w:r>
    </w:p>
    <w:p>
      <w:pPr>
        <w:spacing w:line="360" w:lineRule="auto" w:after="160"/>
        <w:jc w:val="both"/>
      </w:pPr>
      <w:r>
        <w:t>Acesse as Iniciativas Estratégicas com detalhamento no link:</w:t>
      </w:r>
    </w:p>
    <w:p>
      <w:pPr>
        <w:spacing w:line="360" w:lineRule="auto" w:after="160"/>
        <w:jc w:val="both"/>
      </w:pPr>
      <w:r>
        <w:t>https://www.tjmg.jus.br/data/files/8A/A0/2C/2B/B3FAB810CC27F9B82D28CCA8/MANUAL%20%20Ref_07Nov23_FINAL.pdf</w:t>
      </w:r>
    </w:p>
    <w:p>
      <w:r>
        <w:br w:type="page"/>
      </w:r>
    </w:p>
    <w:p>
      <w:pPr>
        <w:pStyle w:val="Heading3"/>
        <w:spacing w:after="400"/>
      </w:pPr>
      <w:r>
        <w:t>3.6.5 Objetivos de Desenvolvimento Sustentável – ODS da Agenda 2030</w:t>
      </w:r>
    </w:p>
    <w:p>
      <w:pPr>
        <w:spacing w:line="360" w:lineRule="auto" w:after="160"/>
        <w:jc w:val="both"/>
      </w:pPr>
      <w:r>
        <w:t>O TJMG incorporou ao seu Planejamento Estratégico os Objetivos de Desenvolvimento Sustentável – ODS, que fazem parte da chamada “Agenda 2030”, um compromisso assumido por líderes de 193 Países, inclusive o Brasil, e coordenada pelas Nações Unidas, nos termos da Resolução A/RES/72/279.OP32, de 2018, da Assembleia Geral da ONU.</w:t>
      </w:r>
    </w:p>
    <w:p>
      <w:pPr>
        <w:spacing w:line="360" w:lineRule="auto" w:after="160"/>
        <w:jc w:val="both"/>
      </w:pPr>
      <w:r>
        <w:t>Os 17 ODS estão relacionados à efetivação dos direitos humanos e promoção do desenvolvimento. É evidente que quando há lesão ou ameaça de violação de direitos humanos, milhares de demandas são judicializadas. Compete ao Poder Judiciário assegurar a razoável duração do processo e os meios que garantam sua celeridade, mas também buscar a prevenção de ocorrência de litígios.</w:t>
      </w:r>
    </w:p>
    <w:p>
      <w:r>
        <w:t>[ERRO: MAPEAMENTO DE IMAGEM AUSENTE PARA: Figura 13 - ODS/ONU -]</w:t>
      </w:r>
    </w:p>
    <w:p>
      <w:pPr>
        <w:spacing w:before="120" w:after="0"/>
        <w:jc w:val="left"/>
      </w:pPr>
      <w:r>
        <w:rPr>
          <w:rFonts w:ascii="Calibri" w:hAnsi="Calibri"/>
          <w:b w:val="0"/>
          <w:sz w:val="16"/>
        </w:rPr>
        <w:t>Figura 13 - ODS/ONU -</w:t>
      </w:r>
    </w:p>
    <w:p>
      <w:pPr>
        <w:spacing w:after="600"/>
        <w:jc w:val="left"/>
      </w:pPr>
      <w:r>
        <w:rPr>
          <w:rFonts w:ascii="Calibri" w:hAnsi="Calibri"/>
          <w:sz w:val="16"/>
        </w:rPr>
        <w:t>Fonte: https://brasil.un.org/pt-br/sdgs</w:t>
      </w:r>
    </w:p>
    <w:p>
      <w:r>
        <w:br w:type="page"/>
      </w:r>
    </w:p>
    <w:p>
      <w:pPr>
        <w:pStyle w:val="Heading3"/>
        <w:spacing w:after="400"/>
      </w:pPr>
      <w:r>
        <w:t>3.6.6 Indicadores Nacionais de Desempenho do Poder Judiciário</w:t>
      </w:r>
    </w:p>
    <w:p>
      <w:pPr>
        <w:spacing w:line="360" w:lineRule="auto" w:after="160"/>
        <w:jc w:val="both"/>
      </w:pPr>
      <w:r>
        <w:t>Progresso adicional obtido se encontra na inserção dos Indicadores Nacionais de Desempenho do Poder Judiciário, no que couber ao Planejamento Estratégico do TJMG. Estes são mecanismos que auxiliam na orientação dos órgãos do judiciário em relação ao alcance dos Macrodesafios estabelecidos. A intenção é que esses indicadores apontem a direção e forneçam o panorama do Poder Judiciário ao longo dos anos de vigência da Estratégia.</w:t>
      </w:r>
    </w:p>
    <w:p>
      <w:pPr>
        <w:spacing w:line="360" w:lineRule="auto" w:after="160"/>
        <w:jc w:val="both"/>
      </w:pPr>
      <w:r>
        <w:t>Os indicadores de desempenho da Estratégia Nacional do Poder Judiciário, 2021 a 2026 estão disponíveis em:</w:t>
      </w:r>
    </w:p>
    <w:p>
      <w:pPr>
        <w:spacing w:line="360" w:lineRule="auto" w:after="160"/>
        <w:jc w:val="both"/>
      </w:pPr>
      <w:r>
        <w:t>https://www.cnj.jus.br/gestao-estrategica-e-planejamento/estrategia-nacional-do-poder-judiciario-2021-2026/monitoramento-e-avaliacao-da-estrategia-nacional-do-poder-judiciario-2021-2026/indicadores-de-desempenho/</w:t>
      </w:r>
    </w:p>
    <w:p>
      <w:pPr>
        <w:pStyle w:val="Heading3"/>
        <w:spacing w:after="400"/>
      </w:pPr>
      <w:r>
        <w:t>3.6.7 PROJEF 5.0</w:t>
      </w:r>
    </w:p>
    <w:p>
      <w:pPr>
        <w:spacing w:line="360" w:lineRule="auto" w:after="160"/>
        <w:jc w:val="both"/>
      </w:pPr>
      <w:r>
        <w:t>Em complemento às diretrizes nacionais e institucionais existentes, 25 objetivos institucionais foram previstos, por meio da Portaria Conjunta nº 1373/2022 que instituiu o "Programa Justiça Eficiente - PROJEF 5.0" como instrumento norteador do aperfeiçoamento da Gestão Administrativa e da Governança Judiciária, no âmbito do Poder Judiciário do Estado de Minas Gerais. Para cada objetivo foi desenvolvido pelo menos um projeto, com estabelecimento das metas e das ações para cumprimento no curso do biênio 2022-2024.</w:t>
      </w:r>
    </w:p>
    <w:p>
      <w:pPr>
        <w:spacing w:line="360" w:lineRule="auto" w:after="160"/>
        <w:jc w:val="both"/>
      </w:pPr>
      <w:r>
        <w:t>O modelo de gestão das prioridades do TJMG encontra-se descrito na imagem abaixo.</w:t>
      </w:r>
    </w:p>
    <w:p>
      <w:r>
        <w:br w:type="page"/>
      </w:r>
    </w:p>
    <w:p>
      <w:r>
        <w:t>[ERRO: MAPEAMENTO DE IMAGEM AUSENTE PARA: Figura 14 - Modelo de gestão de prioridades do TJMG/ASPLAG]</w:t>
      </w:r>
    </w:p>
    <w:p>
      <w:pPr>
        <w:spacing w:before="120" w:after="0"/>
        <w:jc w:val="left"/>
      </w:pPr>
      <w:r>
        <w:rPr>
          <w:rFonts w:ascii="Calibri" w:hAnsi="Calibri"/>
          <w:b w:val="0"/>
          <w:sz w:val="16"/>
        </w:rPr>
        <w:t>Figura 14 - Modelo de gestão de prioridades do TJMG/ASPLAG</w:t>
      </w:r>
    </w:p>
    <w:p>
      <w:pPr>
        <w:pStyle w:val="Heading3"/>
        <w:spacing w:after="400"/>
      </w:pPr>
      <w:r>
        <w:t>3.6.8 Matriz de Priorização de Iniciativas Estratégicas</w:t>
      </w:r>
    </w:p>
    <w:p>
      <w:pPr>
        <w:spacing w:line="360" w:lineRule="auto" w:after="160"/>
        <w:jc w:val="both"/>
      </w:pPr>
      <w:r>
        <w:t>Em 2022, diante da necessidade de se avaliar e identificar, com base em critérios claros e bem definidos, quais são as iniciativas que mais contribuem para a superação dos Macrodesafios da estratégia do TJMG, a ASPLAG/DEPLAG construiu e validou junto ao Comitê de Governança e Gestão Estratégica a primeira versão da matriz de priorização de iniciativas para o TJMG. Para além de possibilitar conhecer a maturidade dos projetos da instituição, a matriz subsidia a tomada de decisão da Alta Gestão quanto aos investimentos a serem realizados para fins do alcance da Estratégia Institucional.</w:t>
      </w:r>
    </w:p>
    <w:p>
      <w:pPr>
        <w:spacing w:line="360" w:lineRule="auto" w:after="160"/>
        <w:jc w:val="both"/>
      </w:pPr>
      <w:r>
        <w:t>Já em 2025, a Matriz de Priorização de Iniciativas passou por um processo de revisão, com o intuito de ampliar seu potencial de análise e identificação de iniciativas onde 13 critérios técnicos distribuídos em 3 blocos de análise (justificativa para o desenvolvimento, viabilidade de execução e alinhamento estratégico) verificam a presença de requisitos desejáveis de uma iniciativa bem estruturada. A partir da avaliação realizada, as iniciativas são pontuadas e ordenadas em um ranking da maior para a menor nota.</w:t>
      </w:r>
    </w:p>
    <w:p>
      <w:r>
        <w:t>[ERRO: MAPEAMENTO DE IMAGEM AUSENTE PARA: Figura 15 - Composição da Matriz de Priorização do TJMG/ ASPLAG.]</w:t>
      </w:r>
    </w:p>
    <w:p>
      <w:pPr>
        <w:spacing w:before="120" w:after="0"/>
        <w:jc w:val="left"/>
      </w:pPr>
      <w:r>
        <w:rPr>
          <w:rFonts w:ascii="Calibri" w:hAnsi="Calibri"/>
          <w:b w:val="0"/>
          <w:sz w:val="16"/>
        </w:rPr>
        <w:t>Figura 15 - Composição da Matriz de Priorização do TJMG/ ASPLAG.</w:t>
      </w:r>
    </w:p>
    <w:p>
      <w:pPr>
        <w:pStyle w:val="Heading2"/>
        <w:spacing w:after="400"/>
      </w:pPr>
      <w:r>
        <w:t>3.7 Principais Grupos de Interesse</w:t>
      </w:r>
    </w:p>
    <w:p>
      <w:pPr>
        <w:spacing w:line="360" w:lineRule="auto" w:after="160"/>
        <w:jc w:val="both"/>
      </w:pPr>
      <w:r>
        <w:t>A imagem abaixo explicita os principais grupos que possuem interesse direto ou indireto nas ações, resultados, informações e nos serviços prestados pelo TJMG.</w:t>
      </w:r>
    </w:p>
    <w:p>
      <w:pPr>
        <w:spacing w:line="360" w:lineRule="auto" w:after="160"/>
        <w:jc w:val="both"/>
      </w:pPr>
      <w:r>
        <w:t>Considerando também as especificidades das demandas de cada grupo, fica evidente a complexidade, abrangência e o grande impacto da atuação deste Tribunal.</w:t>
      </w:r>
    </w:p>
    <w:p>
      <w:r>
        <w:t>[ERRO: MAPEAMENTO DE IMAGEM AUSENTE PARA: Figura 16 - Grupos de interesse do TJMG.]</w:t>
      </w:r>
    </w:p>
    <w:p>
      <w:pPr>
        <w:spacing w:before="120" w:after="0"/>
        <w:jc w:val="left"/>
      </w:pPr>
      <w:r>
        <w:rPr>
          <w:rFonts w:ascii="Calibri" w:hAnsi="Calibri"/>
          <w:b w:val="0"/>
          <w:sz w:val="16"/>
        </w:rPr>
        <w:t>Figura 16 - Grupos de interesse do TJMG.</w:t>
      </w:r>
    </w:p>
    <w:p>
      <w:pPr>
        <w:spacing w:after="600"/>
        <w:jc w:val="left"/>
      </w:pPr>
      <w:r>
        <w:rPr>
          <w:rFonts w:ascii="Calibri" w:hAnsi="Calibri"/>
          <w:sz w:val="16"/>
        </w:rPr>
        <w:t>Fonte: Assessoria Técnica e Jurídica ao Planejamento e à Gestão Institucional – ASPLAG.</w:t>
      </w:r>
    </w:p>
    <w:p>
      <w:pPr>
        <w:pStyle w:val="Heading2"/>
        <w:spacing w:after="400"/>
      </w:pPr>
      <w:r>
        <w:t>3.8 Aspectos Tecnológicos do TJMG</w:t>
      </w:r>
    </w:p>
    <w:p>
      <w:pPr>
        <w:spacing w:line="360" w:lineRule="auto" w:after="160"/>
        <w:jc w:val="both"/>
      </w:pPr>
      <w:r>
        <w:t>A Diretoria Executiva de Informática (DIRFOR), alinhada com as diretrizes institucionais da Direção do TJMG, conduziu, só em 2024, mais de 150 projetos, atendeu em torno de 184.000 chamados de suporte e implementou mais de 8.700 mudanças nos diversos sistemas suportados pela diretoria.</w:t>
      </w:r>
    </w:p>
    <w:p>
      <w:pPr>
        <w:spacing w:line="360" w:lineRule="auto" w:after="160"/>
        <w:jc w:val="both"/>
      </w:pPr>
      <w:r>
        <w:t>Atualmente, mais de 90 projetos já estão em andamento e muitos outros ainda serão priorizados. São projetos de construção e evolução de soluções tecnológicas, contratações de equipamentos, softwares e serviços de TIC, melhorias na área de segurança cibernética, uso de inteligência artificial e atendimento a resoluções do CNJ, como é o caso da resolução 370 e do próprio iGOV-TIC-JUD, no qual mantemos a meta de estar entre os Tribunais com nível de excelência.</w:t>
      </w:r>
    </w:p>
    <w:p>
      <w:pPr>
        <w:spacing w:line="360" w:lineRule="auto" w:after="160"/>
        <w:jc w:val="both"/>
      </w:pPr>
      <w:r>
        <w:t>Situação atual - Projetos iniciados e resultados alcançados</w:t>
      </w:r>
    </w:p>
    <w:p>
      <w:pPr>
        <w:spacing w:line="360" w:lineRule="auto" w:after="160"/>
        <w:jc w:val="both"/>
      </w:pPr>
      <w:r>
        <w:t>Entre esses projetos, alguns merecem destaque dada a sua relevância para a modernização e melhoria da prestação jurisdicional, através do fornecimento de novas e importantes soluções tecnológicas, bem como da padronização e expansão do processo judicial eletrônico no Estado.</w:t>
      </w:r>
    </w:p>
    <w:p>
      <w:pPr>
        <w:spacing w:line="360" w:lineRule="auto" w:after="160"/>
        <w:jc w:val="both"/>
      </w:pPr>
      <w:r>
        <w:t>São eles:</w:t>
      </w:r>
    </w:p>
    <w:p>
      <w:pPr>
        <w:pStyle w:val="ListBullet"/>
        <w:spacing w:line="360" w:lineRule="auto" w:after="80"/>
        <w:jc w:val="both"/>
      </w:pPr>
      <w:r>
        <w:t>Implantação e expansão do sistema de processo judicial eletrônico – EPROC;</w:t>
      </w:r>
    </w:p>
    <w:p>
      <w:pPr>
        <w:pStyle w:val="ListBullet"/>
        <w:spacing w:line="360" w:lineRule="auto" w:after="80"/>
        <w:jc w:val="both"/>
      </w:pPr>
      <w:r>
        <w:t>Conclusão da contratação de solução para Gestão Financeira e Orçamentária – GFO;</w:t>
      </w:r>
    </w:p>
    <w:p>
      <w:pPr>
        <w:pStyle w:val="ListBullet"/>
        <w:spacing w:line="360" w:lineRule="auto" w:after="80"/>
        <w:jc w:val="both"/>
      </w:pPr>
      <w:r>
        <w:t>Sistema de Depósito Judicial Nacional – SIDEJUD;</w:t>
      </w:r>
    </w:p>
    <w:p>
      <w:pPr>
        <w:pStyle w:val="ListBullet"/>
        <w:spacing w:line="360" w:lineRule="auto" w:after="80"/>
        <w:jc w:val="both"/>
      </w:pPr>
      <w:r>
        <w:t>Implantação do sistema Meu Gabinete;</w:t>
      </w:r>
    </w:p>
    <w:p>
      <w:pPr>
        <w:pStyle w:val="ListBullet"/>
        <w:spacing w:line="360" w:lineRule="auto" w:after="80"/>
        <w:jc w:val="both"/>
      </w:pPr>
      <w:r>
        <w:t>Implantação dos serviços gerenciados de segurança cibernética;</w:t>
      </w:r>
    </w:p>
    <w:p>
      <w:pPr>
        <w:pStyle w:val="ListBullet"/>
        <w:spacing w:line="360" w:lineRule="auto" w:after="80"/>
        <w:jc w:val="both"/>
      </w:pPr>
      <w:r>
        <w:t>Disponibilização do aplicativo Meu RH;</w:t>
      </w:r>
    </w:p>
    <w:p>
      <w:pPr>
        <w:pStyle w:val="ListBullet"/>
        <w:spacing w:line="360" w:lineRule="auto" w:after="80"/>
        <w:jc w:val="both"/>
      </w:pPr>
      <w:r>
        <w:t>Implantação do sistema de Votação Eletrônica;</w:t>
      </w:r>
    </w:p>
    <w:p>
      <w:pPr>
        <w:pStyle w:val="ListBullet"/>
        <w:spacing w:line="360" w:lineRule="auto" w:after="80"/>
        <w:jc w:val="both"/>
      </w:pPr>
      <w:r>
        <w:t>Implantação do duplo fator de autenticação para os sistemas;</w:t>
      </w:r>
    </w:p>
    <w:p>
      <w:pPr>
        <w:pStyle w:val="ListBullet"/>
        <w:spacing w:line="360" w:lineRule="auto" w:after="80"/>
        <w:jc w:val="both"/>
      </w:pPr>
      <w:r>
        <w:t>Implantação da solução para agendamento de salas nos Fóruns Digitais;</w:t>
      </w:r>
    </w:p>
    <w:p>
      <w:pPr>
        <w:pStyle w:val="ListBullet"/>
        <w:spacing w:line="360" w:lineRule="auto" w:after="240"/>
        <w:jc w:val="both"/>
      </w:pPr>
      <w:r>
        <w:t>Implantação da solução de Software de Colaboração – Google.</w:t>
      </w:r>
    </w:p>
    <w:p>
      <w:pPr>
        <w:spacing w:line="360" w:lineRule="auto" w:after="160"/>
        <w:jc w:val="both"/>
      </w:pPr>
      <w:r>
        <w:t>Desafios para 2025</w:t>
      </w:r>
    </w:p>
    <w:p>
      <w:pPr>
        <w:spacing w:line="360" w:lineRule="auto" w:after="160"/>
        <w:jc w:val="both"/>
      </w:pPr>
      <w:r>
        <w:t>O Tribunal de Justiça de Minas Gerais, alinhado aos macrodesafios do Poder Judiciário e à busca constante pela excelência em governança de TIC, enfrenta um cenário de transformação digital que demanda ações estratégicas robustas para 2025. Em consonância com o índice de Governança, Gestão e Infraestrutura de Tecnologia da Informação e Comunicação (iGovTIC-JUD), e mantendo nosso compromisso com a eficiência operacional, identificamos desafios cruciais que precisam ser endereçados.</w:t>
      </w:r>
    </w:p>
    <w:p>
      <w:pPr>
        <w:spacing w:line="360" w:lineRule="auto" w:after="160"/>
        <w:jc w:val="both"/>
      </w:pPr>
      <w:r>
        <w:t>Nossa perspectiva de aprendizado e crescimento nos direciona para uma evolução significativa em áreas críticas, visando não apenas o fortalecimento da estratégia de TIC, mas também a proteção de dados e a modernização dos serviços. Estes desafios se alinham diretamente com nossos objetivos de promover a melhoria da governança, gestão e infraestrutura de TIC, garantindo benefícios tangíveis para toda a instituição.</w:t>
      </w:r>
    </w:p>
    <w:p>
      <w:pPr>
        <w:spacing w:line="360" w:lineRule="auto" w:after="160"/>
        <w:jc w:val="both"/>
      </w:pPr>
      <w:r>
        <w:t>Em um cenário onde a transformação digital se acelera exponencialmente, nossos principais desafios para 2025 incluem:</w:t>
      </w:r>
    </w:p>
    <w:p>
      <w:pPr>
        <w:pStyle w:val="ListBullet"/>
        <w:spacing w:line="360" w:lineRule="auto" w:after="80"/>
        <w:jc w:val="both"/>
      </w:pPr>
      <w:r>
        <w:t>Expansão do sistema de processo judicial eletrônico – EPROC e sua integração com outros sistemas;</w:t>
      </w:r>
    </w:p>
    <w:p>
      <w:pPr>
        <w:pStyle w:val="ListBullet"/>
        <w:spacing w:line="360" w:lineRule="auto" w:after="80"/>
        <w:jc w:val="both"/>
      </w:pPr>
      <w:r>
        <w:t>Melhoria da segurança Cibernética;</w:t>
      </w:r>
    </w:p>
    <w:p>
      <w:pPr>
        <w:pStyle w:val="ListBullet"/>
        <w:spacing w:line="360" w:lineRule="auto" w:after="80"/>
        <w:jc w:val="both"/>
      </w:pPr>
      <w:r>
        <w:t>Ampliação do uso de Inteligência Artificial e sua governança;</w:t>
      </w:r>
    </w:p>
    <w:p>
      <w:pPr>
        <w:pStyle w:val="ListBullet"/>
        <w:spacing w:line="360" w:lineRule="auto" w:after="80"/>
        <w:jc w:val="both"/>
      </w:pPr>
      <w:r>
        <w:t>Implantação de nova ferramenta de ITSM e melhoria dos processos internos para aumentar a qualidade dos serviços de TIC;</w:t>
      </w:r>
    </w:p>
    <w:p>
      <w:pPr>
        <w:pStyle w:val="ListBullet"/>
        <w:spacing w:line="360" w:lineRule="auto" w:after="80"/>
        <w:jc w:val="both"/>
      </w:pPr>
      <w:r>
        <w:t>Contratação e início de operação da nova Central de Serviços de TIC, modernizando e ampliando os serviços de atendimento e suporte aos usuários;</w:t>
      </w:r>
    </w:p>
    <w:p>
      <w:pPr>
        <w:pStyle w:val="ListBullet"/>
        <w:spacing w:line="360" w:lineRule="auto" w:after="80"/>
        <w:jc w:val="both"/>
      </w:pPr>
      <w:r>
        <w:t>Aumento do uso de sistemas no-code e low-code, permitindo automações pelos próprios usuários das áreas de negócio;</w:t>
      </w:r>
    </w:p>
    <w:p>
      <w:pPr>
        <w:pStyle w:val="ListBullet"/>
        <w:spacing w:line="360" w:lineRule="auto" w:after="80"/>
        <w:jc w:val="both"/>
      </w:pPr>
      <w:r>
        <w:t>Implantação dos primeiros módulos do Sistema de Gestão Financeira e Orçamentária -GFO;</w:t>
      </w:r>
    </w:p>
    <w:p>
      <w:pPr>
        <w:pStyle w:val="ListBullet"/>
        <w:spacing w:line="360" w:lineRule="auto" w:after="80"/>
        <w:jc w:val="both"/>
      </w:pPr>
      <w:r>
        <w:t>Contratação e implantação de solução para integrar projetos, programas, metas e planos diretores com planejamento estratégico da Instituição;</w:t>
      </w:r>
    </w:p>
    <w:p>
      <w:pPr>
        <w:pStyle w:val="ListBullet"/>
        <w:spacing w:line="360" w:lineRule="auto" w:after="240"/>
        <w:jc w:val="both"/>
      </w:pPr>
      <w:r>
        <w:t>Modernização constante e consolidação da nossa infraestrutura tecnológica, principalmente com os ambientes em nuvem.</w:t>
      </w:r>
    </w:p>
    <w:p>
      <w:pPr>
        <w:pStyle w:val="Heading3"/>
        <w:spacing w:after="400"/>
      </w:pPr>
      <w:r>
        <w:t>3.8.1 Sistema Eletrônico de Informações (SEI)</w:t>
      </w:r>
    </w:p>
    <w:p>
      <w:pPr>
        <w:spacing w:line="360" w:lineRule="auto" w:after="160"/>
        <w:jc w:val="both"/>
      </w:pPr>
      <w:r>
        <w:t>O Sistema Eletrônico de Informações (SEI) é uma ferramenta de gestão e processamento eletrônico de documentos e processos administrativos que tem se destacado cada vez mais como uma peça fundamental na modernização dos processos de trabalho administrativo. De 2021 até o ano de 2024, vários projetos têm contribuído para sua relevância, consolidando-o como uma plataforma essencial.</w:t>
      </w:r>
    </w:p>
    <w:p>
      <w:pPr>
        <w:spacing w:line="360" w:lineRule="auto" w:after="160"/>
        <w:jc w:val="both"/>
      </w:pPr>
      <w:r>
        <w:t>Entre os projetos concluídos, podemos citar a implantação da versão 4.0 do SEI, que trouxe não apenas uma nova identidade visual, mas também novas ferramentas para aprimorar a rotina administrativa do Tribunal de Justiça de Minas Gerais. Além disso, houve a expansão do "SEI Frota" para Comarcas do Interior, facilitando a gestão de veículos.</w:t>
      </w:r>
    </w:p>
    <w:p>
      <w:pPr>
        <w:spacing w:line="360" w:lineRule="auto" w:after="160"/>
        <w:jc w:val="both"/>
      </w:pPr>
      <w:r>
        <w:t>Em se tratando da captação de demandas externas, o uso do SEI foi aprimorado com a utilização para o cadastro de instituições de ensino que oferecem cursos de conciliador e mediador no TJMG, o credenciamento de clínicas psicológicas para avaliações de candidatos à Magistratura e a nomeação de Juízes Leigos, otimizando o processamento. Além disso, houve a expansão do "Canal Fale com o TJMG" para direções do Foro do Interior, bem como a inclusão de novos tipos de demandas a serem autuadas por usuários externos - um novo canal de denúncia, para registros de Notícias de Tortura ou Maus-Tratos em unidades prisionais e socioeducativas - e um novo canal de solicitação, para agendamento de reuniões por agentes externos com o Centro de Inteligência da Justiça de Minas Gerais - CIJMG.</w:t>
      </w:r>
    </w:p>
    <w:p>
      <w:pPr>
        <w:spacing w:line="360" w:lineRule="auto" w:after="160"/>
        <w:jc w:val="both"/>
      </w:pPr>
      <w:r>
        <w:t>O catálogo de processos do SEI também foi desenvolvido para promover a celeridade e o correto direcionamento das demandas.</w:t>
      </w:r>
    </w:p>
    <w:p>
      <w:pPr>
        <w:spacing w:line="360" w:lineRule="auto" w:after="160"/>
        <w:jc w:val="both"/>
      </w:pPr>
      <w:r>
        <w:t>Em relação à governança, transparência e sustentabilidade na utilização do SEI, a ampliação da Rede-SEI incluiu a Defensoria Pública do Estado de MG, fortalecendo a cooperação técnica. Também houve a renovação do acordo entre o TJMG e o TRF4, garantindo a continuidade da utilização do SEI. Além disso, foi criada a Portaria 1.449/PR/23 para regulamentar o uso sustentável do sistema.</w:t>
      </w:r>
    </w:p>
    <w:p>
      <w:pPr>
        <w:pStyle w:val="Heading2"/>
        <w:spacing w:after="400"/>
      </w:pPr>
      <w:r>
        <w:t>3.9 Atuação do TJMG com Impacto Social</w:t>
      </w:r>
    </w:p>
    <w:p>
      <w:pPr>
        <w:spacing w:line="360" w:lineRule="auto" w:after="160"/>
        <w:jc w:val="both"/>
      </w:pPr>
      <w:r>
        <w:t>“Projeto social deve ser entendido como o conjunto de atividades praticadas pelo órgão, que extrapolam a sua missão, para atender, ainda que parcialmente, às necessidades de grupos que, por si só, não possuem condições de satisfazê-las”, segundo o conceito exposto pelo Conselho Nacional de Justiça – CNJ.</w:t>
      </w:r>
    </w:p>
    <w:p>
      <w:pPr>
        <w:spacing w:line="360" w:lineRule="auto" w:after="160"/>
        <w:jc w:val="both"/>
      </w:pPr>
      <w:r>
        <w:t>Segundo o Presidente do Tribunal de Justiça do Estado de Minas Gerais, Desembargador Luiz Carlos de Azevedo Corrêa Junior, “... não podemos esquecer que somos atores sociais e temos uma responsabilidade fora de nossos muros. Como membro do Poder Judiciário, que tem como ideal a Justiça, nada mais justo que busquemos ajudar aqueles e aquelas que mais necessitam de nosso auxílio”.</w:t>
      </w:r>
    </w:p>
    <w:p>
      <w:pPr>
        <w:spacing w:line="360" w:lineRule="auto" w:after="160"/>
        <w:jc w:val="both"/>
      </w:pPr>
      <w:r>
        <w:t>A responsabilidade social é um conceito que norteia as diversas ações do TJMG.</w:t>
      </w:r>
    </w:p>
    <w:p>
      <w:pPr>
        <w:spacing w:line="360" w:lineRule="auto" w:after="160"/>
        <w:jc w:val="both"/>
      </w:pPr>
      <w:r>
        <w:t>Firmar novas cooperações entre o TJMG e a sociedade, no sentido de propiciar melhorias das condições de vida dos mineiros em situação de vulnerabilidade social, como o escopo de contribuir para a criação de uma sociedade mais justa, inclusiva e solidária.</w:t>
      </w:r>
    </w:p>
    <w:p>
      <w:pPr>
        <w:spacing w:line="360" w:lineRule="auto" w:after="160"/>
        <w:jc w:val="both"/>
      </w:pPr>
      <w:r>
        <w:t>Diversos são os projetos sociais executados ou patrocinados pelo TJMG e aqueles realizados por meio de parcerias, que beneficiam pessoas da comunidade e seus familiares abarcando os seguintes conceitos: acesso à justiça e aos direitos fundamentais; atenção à vulnerabilidade social; divulgação e conscientização de direitos; serviços essenciais e cidadania; solidariedade, amparo e defesa; promoção da paz social e cultura; apoio e reconstrução e inclusão social.</w:t>
      </w:r>
    </w:p>
    <w:p>
      <w:pPr>
        <w:spacing w:line="360" w:lineRule="auto" w:after="160"/>
        <w:jc w:val="both"/>
      </w:pPr>
      <w:r>
        <w:t>Diferentes públicos são diretamente beneficiados, entre eles: crianças e adolescentes órfãos ou abrigados; jovens no sistema socioeducativo; mulheres vítimas de violência doméstica e sob proteção do estado; povos indígenas e comunidades tradicionais; pessoas em situação de rua e vulnerabilidade social; pessoas vítimas de desastres ambientais e outros e egressos do sistema prisional.</w:t>
      </w:r>
    </w:p>
    <w:p>
      <w:pPr>
        <w:spacing w:line="360" w:lineRule="auto" w:after="160"/>
        <w:jc w:val="both"/>
      </w:pPr>
      <w:r>
        <w:t>Nesse sentido, relacionamos os projetos, ações e ou programas que possuem positiva repercussão na comunidade, compondo relevante agenda social deste Egrégio Tribunal de Justiça ao longo do ano de 2024.</w:t>
      </w:r>
    </w:p>
    <w:p>
      <w:pPr>
        <w:spacing w:line="360" w:lineRule="auto" w:after="160"/>
        <w:jc w:val="both"/>
      </w:pPr>
      <w:r>
        <w:rPr>
          <w:rFonts w:ascii="Calibri" w:hAnsi="Calibri"/>
          <w:b/>
          <w:color w:val="A21612"/>
          <w:sz w:val="24"/>
        </w:rPr>
        <w:t>Ações vinculadas ao GMF</w:t>
      </w:r>
    </w:p>
    <w:p>
      <w:pPr>
        <w:pStyle w:val="ListBullet"/>
        <w:spacing w:line="360" w:lineRule="auto" w:after="80"/>
        <w:jc w:val="both"/>
      </w:pPr>
      <w:r>
        <w:t>7.698 recuperandos sendo beneficiados com a metodologia Apaqueana (APAC – associação de Proteção e Assistência aos Condenados), até 31 dezembro de 2024.</w:t>
      </w:r>
    </w:p>
    <w:p>
      <w:pPr>
        <w:pStyle w:val="ListBullet"/>
        <w:spacing w:line="360" w:lineRule="auto" w:after="80"/>
        <w:jc w:val="both"/>
      </w:pPr>
      <w:r>
        <w:t>3.266 pacientes Judiciários sendo acompanhados pelo Programa PAI-PJ (Programa de Atenção Integral ao Paciente Judiciário Portador de Sofrimento Mental) até 24 de dezembro de 2024.</w:t>
      </w:r>
    </w:p>
    <w:p>
      <w:pPr>
        <w:pStyle w:val="ListBullet"/>
        <w:spacing w:line="360" w:lineRule="auto" w:after="80"/>
        <w:jc w:val="both"/>
      </w:pPr>
      <w:r>
        <w:t>Em Minas Gerais, 50 APACs estão em funcionamento, sendo 1 para o público juvenil e 49 para o público adulto, sendo neste caso 41 APACs para o público masculino e 8 para o público feminino.</w:t>
      </w:r>
    </w:p>
    <w:p>
      <w:pPr>
        <w:pStyle w:val="ListBullet"/>
        <w:spacing w:line="360" w:lineRule="auto" w:after="240"/>
        <w:jc w:val="both"/>
      </w:pPr>
      <w:r>
        <w:t>Programa Fortalecimento das Políticas Judiciárias de melhoria do Sistema Prisional e do Sistema Socioeducativo.</w:t>
      </w:r>
    </w:p>
    <w:p>
      <w:pPr>
        <w:spacing w:line="360" w:lineRule="auto" w:after="160"/>
        <w:jc w:val="both"/>
      </w:pPr>
      <w:r>
        <w:rPr>
          <w:rFonts w:ascii="Calibri" w:hAnsi="Calibri"/>
          <w:b/>
          <w:color w:val="A21612"/>
          <w:sz w:val="24"/>
        </w:rPr>
        <w:t>Ações do Núcleo de Voluntariado e Comitê Pop Rua/Jus</w:t>
      </w:r>
    </w:p>
    <w:p>
      <w:pPr>
        <w:spacing w:line="360" w:lineRule="auto" w:after="160"/>
        <w:jc w:val="both"/>
      </w:pPr>
      <w:r>
        <w:t>29.480 pessoas foram beneficiadas, de janeiro a novembro de 2024, com ações do Núcleo de Voluntariado do TJMG em parceria com o Comitê Pop Rua/Jus:</w:t>
      </w:r>
    </w:p>
    <w:p>
      <w:pPr>
        <w:pStyle w:val="ListBullet"/>
        <w:spacing w:line="360" w:lineRule="auto" w:after="80"/>
        <w:jc w:val="both"/>
      </w:pPr>
      <w:r>
        <w:t>1.466 pessoas foram beneficiadas com as campanhas para as vítimas das chuvas. As doações foram destinadas para o projeto Sopão Solidário e para a campanha S.O.S chuva, realizada pelo Servas com a Cruz vermelha, Defesa Civil e Governo do Estado;</w:t>
      </w:r>
    </w:p>
    <w:p>
      <w:pPr>
        <w:pStyle w:val="ListBullet"/>
        <w:spacing w:line="360" w:lineRule="auto" w:after="80"/>
        <w:jc w:val="both"/>
      </w:pPr>
      <w:r>
        <w:t>108 pessoas foram beneficiadas com atendimentos jurídicos, assistenciais, beleza, alimentação, orientação psicológica e rodas de conversa;</w:t>
      </w:r>
    </w:p>
    <w:p>
      <w:pPr>
        <w:pStyle w:val="ListBullet"/>
        <w:spacing w:line="360" w:lineRule="auto" w:after="80"/>
        <w:jc w:val="both"/>
      </w:pPr>
      <w:r>
        <w:t>21 pessoas foram beneficiadas através do Programa Caminhos, com apoio do Núcleo de voluntariado, sendo 11 pessoas com visitas ao Museu do Muquifo e ao Parque da Serra do Curral, e 10 pessoas participaram da construção da obra de arte “A voz do Vale”, instalada na rotatória da rua Manuel Macedo – Bairro Lagoinha em Belo Horizonte.</w:t>
      </w:r>
    </w:p>
    <w:p>
      <w:pPr>
        <w:pStyle w:val="ListBullet"/>
        <w:spacing w:line="360" w:lineRule="auto" w:after="80"/>
        <w:jc w:val="both"/>
      </w:pPr>
      <w:r>
        <w:t>3.888 pessoas foram beneficiadas, no dia 15 de junho, com mais uma edição do Rua dos Direitos, disponibilizando diversos serviços gratuitos oferecidos no Centro de Referência das Juventudes de BH, com a distribuição de cafés da manhã, almoço, cobertores, peças de roupas, Kits de higiene pessoal contendo (papel higiênico, sabonetes, absorventes, desodorante);</w:t>
      </w:r>
    </w:p>
    <w:p>
      <w:pPr>
        <w:pStyle w:val="ListBullet"/>
        <w:spacing w:line="360" w:lineRule="auto" w:after="80"/>
        <w:jc w:val="both"/>
      </w:pPr>
      <w:r>
        <w:t>11.988 pessoas foram beneficiadas por meio da campanha para as vítimas das chuvas do Rio Grande do Sul, nos municípios de Porto Alegre, Alvorada, Canoas e Doutor Ricardo (as doações foram realizadas pelo público interno do TJMG, encaminhadas ao SERVAS, que enviou as doações à defesa Civil do Rio Grande do Sul;</w:t>
      </w:r>
    </w:p>
    <w:p>
      <w:pPr>
        <w:pStyle w:val="ListBullet"/>
        <w:spacing w:line="360" w:lineRule="auto" w:after="80"/>
        <w:jc w:val="both"/>
      </w:pPr>
      <w:r>
        <w:t>48 pessoas foram beneficiadas com arrecadação de roupas para o abrigo Granja de Freitas;</w:t>
      </w:r>
    </w:p>
    <w:p>
      <w:pPr>
        <w:pStyle w:val="ListBullet"/>
        <w:spacing w:line="360" w:lineRule="auto" w:after="80"/>
        <w:jc w:val="both"/>
      </w:pPr>
      <w:r>
        <w:t>4.818 atendimentos com a campanha Nacional de Registro Civil - Registre-se;</w:t>
      </w:r>
    </w:p>
    <w:p>
      <w:pPr>
        <w:pStyle w:val="ListBullet"/>
        <w:spacing w:line="360" w:lineRule="auto" w:after="80"/>
        <w:jc w:val="both"/>
      </w:pPr>
      <w:r>
        <w:t>3.000 cartilhas sobre Direitos das Pessoas em Situação de rua foram distribuídas;</w:t>
      </w:r>
    </w:p>
    <w:p>
      <w:pPr>
        <w:pStyle w:val="ListBullet"/>
        <w:spacing w:line="360" w:lineRule="auto" w:after="80"/>
        <w:jc w:val="both"/>
      </w:pPr>
      <w:r>
        <w:t>9 pessoas assistidas pelo INAPER visitaram o Museu Casa Kubitscheck;</w:t>
      </w:r>
    </w:p>
    <w:p>
      <w:pPr>
        <w:pStyle w:val="ListBullet"/>
        <w:spacing w:line="360" w:lineRule="auto" w:after="80"/>
        <w:jc w:val="both"/>
      </w:pPr>
      <w:r>
        <w:t>1.326 pessoas participaram do curso de atendimento humanizado;</w:t>
      </w:r>
    </w:p>
    <w:p>
      <w:pPr>
        <w:pStyle w:val="ListBullet"/>
        <w:spacing w:line="360" w:lineRule="auto" w:after="80"/>
        <w:jc w:val="both"/>
      </w:pPr>
      <w:r>
        <w:t>1.483 pessoas foram beneficiadas com a campanha de inverno;</w:t>
      </w:r>
    </w:p>
    <w:p>
      <w:pPr>
        <w:pStyle w:val="ListBullet"/>
        <w:spacing w:line="360" w:lineRule="auto" w:after="80"/>
        <w:jc w:val="both"/>
      </w:pPr>
      <w:r>
        <w:t>450 pessoas em ação de comemoração ao dia Nacional do Voluntariado, realizada junto à comunidade Renovada de Santo Antônio de Pádua (CRESAP);</w:t>
      </w:r>
    </w:p>
    <w:p>
      <w:pPr>
        <w:pStyle w:val="ListBullet"/>
        <w:spacing w:line="360" w:lineRule="auto" w:after="80"/>
        <w:jc w:val="both"/>
      </w:pPr>
      <w:r>
        <w:t>294 pessoas beneficiadas com o apoio à campanha VOLPMAPE (Voluntários do hospital Mário Pena) com doações de roupas ao Bazar do Bem;</w:t>
      </w:r>
    </w:p>
    <w:p>
      <w:pPr>
        <w:pStyle w:val="ListBullet"/>
        <w:spacing w:line="360" w:lineRule="auto" w:after="80"/>
        <w:jc w:val="both"/>
      </w:pPr>
      <w:r>
        <w:t>428 crianças beneficiadas com a campanha do dia das crianças;</w:t>
      </w:r>
    </w:p>
    <w:p>
      <w:pPr>
        <w:pStyle w:val="ListBullet"/>
        <w:spacing w:line="360" w:lineRule="auto" w:after="80"/>
        <w:jc w:val="both"/>
      </w:pPr>
      <w:r>
        <w:t>73 idosos beneficiados com diversas ações em comemoração ao mês do idoso.</w:t>
      </w:r>
    </w:p>
    <w:p>
      <w:pPr>
        <w:pStyle w:val="ListBullet"/>
        <w:spacing w:line="360" w:lineRule="auto" w:after="240"/>
        <w:jc w:val="both"/>
      </w:pPr>
      <w:r>
        <w:t>80 alunos da faculdade Milton Campos assistiram a palestra sobre conscientização e importância do voluntariado;</w:t>
      </w:r>
    </w:p>
    <w:p>
      <w:pPr>
        <w:spacing w:line="360" w:lineRule="auto" w:after="160"/>
        <w:jc w:val="both"/>
      </w:pPr>
      <w:r>
        <w:t>Obs.: 1. Instituições Parceiras do Rua de Direitos: TRE-MG, TRT3; TRF6; DPE; DPU; MPMG; Prefeitura de Belo Horizonte; Receita Federal; INSS; Polícia Civil; Polícia Militar; Corpo de Bombeiros; PRESP; UFMG; PUC Minas; Ciências Médicas; Faculdade Milton Campos; Faculdade Arnaldo; Centro Universitário Newton Paiva; Universidade Fumec; Servas; Recivil; Senac; Bicho da Gente; CRESAP; Instituto Wilson Chagas; PRODABEL; Movimento Nacional da População em Situação de Rua; INAPER; Pastoral de Rua da Arquidiocese de BH; Comitê Nacional Pop Rua Jud.</w:t>
      </w:r>
    </w:p>
    <w:p>
      <w:pPr>
        <w:spacing w:line="360" w:lineRule="auto" w:after="160"/>
        <w:jc w:val="both"/>
      </w:pPr>
      <w:r>
        <w:t>Obs.: 2. A Campanha Nacional de Registro Civil – Registre-se, coordenada pela Corregedoria Estadual de Justiça, teve a participação das seguintes Instituições: TRE/MG; PBH; INSS; Receita Federal; DPMG; DPU; MPMG; Polícia Civil de Minas Gerais, OAB - Seção Minas Gerais.</w:t>
      </w:r>
    </w:p>
    <w:p>
      <w:pPr>
        <w:spacing w:line="360" w:lineRule="auto" w:after="160"/>
        <w:jc w:val="both"/>
      </w:pPr>
      <w:r>
        <w:rPr>
          <w:rFonts w:ascii="Calibri" w:hAnsi="Calibri"/>
          <w:b/>
          <w:color w:val="A21612"/>
          <w:sz w:val="24"/>
        </w:rPr>
        <w:t>Ações e projetos da COINJ</w:t>
      </w:r>
    </w:p>
    <w:p>
      <w:pPr>
        <w:spacing w:line="360" w:lineRule="auto" w:after="160"/>
        <w:jc w:val="both"/>
      </w:pPr>
      <w:r>
        <w:t>810 crianças beneficiadas com as campanhas de apadrinhamento até 31/05/2024, sendo:</w:t>
      </w:r>
    </w:p>
    <w:p>
      <w:pPr>
        <w:pStyle w:val="ListBullet"/>
        <w:spacing w:line="360" w:lineRule="auto" w:after="80"/>
        <w:jc w:val="both"/>
      </w:pPr>
      <w:r>
        <w:t>290 crianças atendidas pelo apadrinhamento do tipo "Afetivo";</w:t>
      </w:r>
    </w:p>
    <w:p>
      <w:pPr>
        <w:pStyle w:val="ListBullet"/>
        <w:spacing w:line="360" w:lineRule="auto" w:after="80"/>
        <w:jc w:val="both"/>
      </w:pPr>
      <w:r>
        <w:t>339 pelo apadrinhamento do tipo "Prestador de Serviço”;</w:t>
      </w:r>
    </w:p>
    <w:p>
      <w:pPr>
        <w:pStyle w:val="ListBullet"/>
        <w:spacing w:line="360" w:lineRule="auto" w:after="240"/>
        <w:jc w:val="both"/>
      </w:pPr>
      <w:r>
        <w:t>181 crianças atendidas pelo tipo "Provedor”.</w:t>
      </w:r>
    </w:p>
    <w:p>
      <w:pPr>
        <w:spacing w:line="360" w:lineRule="auto" w:after="160"/>
        <w:jc w:val="both"/>
      </w:pPr>
      <w:r>
        <w:rPr>
          <w:rFonts w:ascii="Calibri" w:hAnsi="Calibri"/>
          <w:b/>
          <w:color w:val="A21612"/>
          <w:sz w:val="24"/>
        </w:rPr>
        <w:t>Ações e projetos da COMSIV</w:t>
      </w:r>
    </w:p>
    <w:p>
      <w:pPr>
        <w:pStyle w:val="ListBullet"/>
        <w:spacing w:line="360" w:lineRule="auto" w:after="80"/>
        <w:jc w:val="both"/>
      </w:pPr>
      <w:r>
        <w:t>Em 2024, foram realizadas três Campanhas Justiça pela Paz em Casa;</w:t>
      </w:r>
    </w:p>
    <w:p>
      <w:pPr>
        <w:pStyle w:val="ListBullet"/>
        <w:spacing w:line="360" w:lineRule="auto" w:after="80"/>
        <w:jc w:val="both"/>
      </w:pPr>
      <w:r>
        <w:t>Realização do 3º encontro regional Justiça em Rede, que reuniu 200 participantes.</w:t>
      </w:r>
    </w:p>
    <w:p>
      <w:pPr>
        <w:pStyle w:val="ListBullet"/>
        <w:spacing w:line="360" w:lineRule="auto" w:after="80"/>
        <w:jc w:val="both"/>
      </w:pPr>
      <w:r>
        <w:t>lançamento do livro “Reflexões para o Ensino do Holocausto”, em colaboração com o Núcleo Anne Frank, evento que atraiu 500 participantes.</w:t>
      </w:r>
    </w:p>
    <w:p>
      <w:pPr>
        <w:pStyle w:val="ListBullet"/>
        <w:spacing w:line="360" w:lineRule="auto" w:after="80"/>
        <w:jc w:val="both"/>
      </w:pPr>
      <w:r>
        <w:t>No período compreendido entre janeiro a setembro de 2024, foram realizadas 6 palestras, no âmbito do projeto “Construindo Igualdades”, resultando no alcance de 337 trabalhadores.</w:t>
      </w:r>
    </w:p>
    <w:p>
      <w:pPr>
        <w:pStyle w:val="ListBullet"/>
        <w:spacing w:line="360" w:lineRule="auto" w:after="80"/>
        <w:jc w:val="both"/>
      </w:pPr>
      <w:r>
        <w:t>No período compreendido entre janeiro a setembro de 2024, foram conduzidas 4 visitas, por meio do projeto “Justiça Vai à Escola, resultando no alcance de aproximadamente 400 alunos.</w:t>
      </w:r>
    </w:p>
    <w:p>
      <w:pPr>
        <w:pStyle w:val="ListBullet"/>
        <w:spacing w:line="360" w:lineRule="auto" w:after="80"/>
        <w:jc w:val="both"/>
      </w:pPr>
      <w:r>
        <w:t>Realização, em novembro de 2024, do webinário sobre Justiça e Equidade Racial.</w:t>
      </w:r>
    </w:p>
    <w:p>
      <w:pPr>
        <w:pStyle w:val="ListBullet"/>
        <w:spacing w:line="360" w:lineRule="auto" w:after="240"/>
        <w:jc w:val="both"/>
      </w:pPr>
      <w:r>
        <w:t>Ações de Prevenção à Violência Contra a Mulher;</w:t>
      </w:r>
    </w:p>
    <w:p>
      <w:pPr>
        <w:spacing w:line="360" w:lineRule="auto" w:after="160"/>
        <w:jc w:val="both"/>
      </w:pPr>
      <w:r>
        <w:rPr>
          <w:rFonts w:ascii="Calibri" w:hAnsi="Calibri"/>
          <w:b/>
          <w:color w:val="A21612"/>
          <w:sz w:val="24"/>
        </w:rPr>
        <w:t>Ações e projetos da 3ª Vice-Presidência:</w:t>
      </w:r>
    </w:p>
    <w:p>
      <w:pPr>
        <w:spacing w:line="360" w:lineRule="auto" w:after="160"/>
        <w:jc w:val="both"/>
      </w:pPr>
      <w:r>
        <w:rPr>
          <w:rFonts w:ascii="Calibri" w:hAnsi="Calibri"/>
          <w:b/>
          <w:color w:val="A21612"/>
          <w:sz w:val="24"/>
        </w:rPr>
        <w:t>Paternidade para todos</w:t>
      </w:r>
    </w:p>
    <w:p>
      <w:pPr>
        <w:pStyle w:val="ListBullet"/>
        <w:spacing w:line="360" w:lineRule="auto" w:after="240"/>
        <w:jc w:val="both"/>
      </w:pPr>
      <w:r>
        <w:t>573 exames de DNAs realizados, em 2024.</w:t>
      </w:r>
    </w:p>
    <w:p>
      <w:pPr>
        <w:spacing w:line="360" w:lineRule="auto" w:after="160"/>
        <w:jc w:val="both"/>
      </w:pPr>
      <w:r>
        <w:rPr>
          <w:rFonts w:ascii="Calibri" w:hAnsi="Calibri"/>
          <w:b/>
          <w:color w:val="A21612"/>
          <w:sz w:val="24"/>
        </w:rPr>
        <w:t>Conciliação em domicílio</w:t>
      </w:r>
    </w:p>
    <w:p>
      <w:pPr>
        <w:pStyle w:val="ListBullet"/>
        <w:spacing w:line="360" w:lineRule="auto" w:after="80"/>
        <w:jc w:val="both"/>
      </w:pPr>
      <w:r>
        <w:t>Em 2024, os oficiais de justiça cadastrados atuaram em 31 processos dos quais 29 resultaram em acordos;</w:t>
      </w:r>
    </w:p>
    <w:p>
      <w:pPr>
        <w:pStyle w:val="ListBullet"/>
        <w:spacing w:line="360" w:lineRule="auto" w:after="240"/>
        <w:jc w:val="both"/>
      </w:pPr>
      <w:r>
        <w:t>Em 2024, foram abertas duas novas turmas do curso “Ferramentas autocompositivas para Oficialas e Oficiais de Justiça”:</w:t>
        <w:br/>
        <w:t>11/04 a 27/06/2024: 304 matriculados e 211 aprovados;</w:t>
        <w:br/>
        <w:t>16/07 a 06/12/2024: 185 matriculados e 102 aprovados.</w:t>
      </w:r>
    </w:p>
    <w:p>
      <w:pPr>
        <w:spacing w:line="360" w:lineRule="auto" w:after="160"/>
        <w:jc w:val="both"/>
      </w:pPr>
      <w:r>
        <w:rPr>
          <w:rFonts w:ascii="Calibri" w:hAnsi="Calibri"/>
          <w:b/>
          <w:color w:val="A21612"/>
          <w:sz w:val="24"/>
        </w:rPr>
        <w:t>Justiça Itinerante</w:t>
      </w:r>
    </w:p>
    <w:p>
      <w:pPr>
        <w:pStyle w:val="ListBullet"/>
        <w:spacing w:line="360" w:lineRule="auto" w:after="80"/>
        <w:jc w:val="both"/>
      </w:pPr>
      <w:r>
        <w:t>801 audiências agendadas, 444 audiências realizadas, 255 acordos e 522 atos diversos (encaminhamentos, nomeação de dativos, comparecimento mensal SUSI);</w:t>
      </w:r>
    </w:p>
    <w:p>
      <w:pPr>
        <w:pStyle w:val="ListBullet"/>
        <w:spacing w:line="360" w:lineRule="auto" w:after="240"/>
        <w:jc w:val="both"/>
      </w:pPr>
      <w:r>
        <w:t>19 convênios de Justiça Itinerante vigentes em 13 comarcas, beneficiando 19 municípios.</w:t>
      </w:r>
    </w:p>
    <w:p>
      <w:pPr>
        <w:spacing w:line="360" w:lineRule="auto" w:after="160"/>
        <w:jc w:val="both"/>
      </w:pPr>
      <w:r>
        <w:rPr>
          <w:rFonts w:ascii="Calibri" w:hAnsi="Calibri"/>
          <w:b/>
          <w:color w:val="A21612"/>
          <w:sz w:val="24"/>
        </w:rPr>
        <w:t>Cejusc Itinerante (cronograma próprio)</w:t>
      </w:r>
    </w:p>
    <w:p>
      <w:pPr>
        <w:pStyle w:val="ListBullet"/>
        <w:spacing w:line="360" w:lineRule="auto" w:after="80"/>
        <w:jc w:val="both"/>
      </w:pPr>
      <w:r>
        <w:t>16 itinerâncias do cronograma próprio em 11 comarcas, beneficiando 13 municípios;</w:t>
      </w:r>
    </w:p>
    <w:p>
      <w:pPr>
        <w:pStyle w:val="ListBullet"/>
        <w:spacing w:line="360" w:lineRule="auto" w:after="80"/>
        <w:jc w:val="both"/>
      </w:pPr>
      <w:r>
        <w:t>123 sessões de conciliação e mediação agendadas, das quais 81 foram realizadas e 36 acordos foram celebrados.</w:t>
      </w:r>
    </w:p>
    <w:p>
      <w:pPr>
        <w:pStyle w:val="ListBullet"/>
        <w:spacing w:line="360" w:lineRule="auto" w:after="80"/>
        <w:jc w:val="both"/>
      </w:pPr>
      <w:r>
        <w:t>800 serviços de cidadania;</w:t>
      </w:r>
    </w:p>
    <w:p>
      <w:pPr>
        <w:pStyle w:val="ListBullet"/>
        <w:spacing w:line="360" w:lineRule="auto" w:after="240"/>
        <w:jc w:val="both"/>
      </w:pPr>
      <w:r>
        <w:t>331 casamentos comunitários realizados.</w:t>
      </w:r>
    </w:p>
    <w:p>
      <w:pPr>
        <w:spacing w:line="360" w:lineRule="auto" w:after="160"/>
        <w:jc w:val="both"/>
      </w:pPr>
      <w:r>
        <w:rPr>
          <w:rFonts w:ascii="Calibri" w:hAnsi="Calibri"/>
          <w:b/>
          <w:color w:val="A21612"/>
          <w:sz w:val="24"/>
        </w:rPr>
        <w:t>Cejusc Itinerante (Ministério Público)</w:t>
      </w:r>
    </w:p>
    <w:p>
      <w:pPr>
        <w:pStyle w:val="ListBullet"/>
        <w:spacing w:line="360" w:lineRule="auto" w:after="80"/>
        <w:jc w:val="both"/>
      </w:pPr>
      <w:r>
        <w:t>37 itinerâncias em parceria com o Ministério Público em 20 comarcas diferentes, atendendo a 36 municípios;</w:t>
      </w:r>
    </w:p>
    <w:p>
      <w:pPr>
        <w:pStyle w:val="ListBullet"/>
        <w:spacing w:line="360" w:lineRule="auto" w:after="80"/>
        <w:jc w:val="both"/>
      </w:pPr>
      <w:r>
        <w:t>280 sessões de conciliação e mediação agendadas, das quais 244 foram realizadas e 185 acordos foram celebrados;</w:t>
      </w:r>
    </w:p>
    <w:p>
      <w:pPr>
        <w:pStyle w:val="ListBullet"/>
        <w:spacing w:line="360" w:lineRule="auto" w:after="80"/>
        <w:jc w:val="both"/>
      </w:pPr>
      <w:r>
        <w:t>1.654 serviços de cidadania;</w:t>
      </w:r>
    </w:p>
    <w:p>
      <w:pPr>
        <w:pStyle w:val="ListBullet"/>
        <w:spacing w:line="360" w:lineRule="auto" w:after="240"/>
        <w:jc w:val="both"/>
      </w:pPr>
      <w:r>
        <w:t>47 casamentos comunitários realizados.</w:t>
      </w:r>
    </w:p>
    <w:p>
      <w:pPr>
        <w:spacing w:line="360" w:lineRule="auto" w:after="160"/>
        <w:jc w:val="both"/>
      </w:pPr>
      <w:r>
        <w:rPr>
          <w:rFonts w:ascii="Calibri" w:hAnsi="Calibri"/>
          <w:b/>
          <w:color w:val="A21612"/>
          <w:sz w:val="24"/>
        </w:rPr>
        <w:t>PAPRES – Postos de Atendimento Pré-processual</w:t>
      </w:r>
    </w:p>
    <w:p>
      <w:pPr>
        <w:pStyle w:val="ListBullet"/>
        <w:spacing w:line="360" w:lineRule="auto" w:after="80"/>
        <w:jc w:val="both"/>
      </w:pPr>
      <w:r>
        <w:t>45 convênios publicados em 2024;</w:t>
      </w:r>
    </w:p>
    <w:p>
      <w:pPr>
        <w:pStyle w:val="ListBullet"/>
        <w:spacing w:line="360" w:lineRule="auto" w:after="80"/>
        <w:jc w:val="both"/>
      </w:pPr>
      <w:r>
        <w:t>17 convênios em andamento em 2024;</w:t>
      </w:r>
    </w:p>
    <w:p>
      <w:pPr>
        <w:pStyle w:val="ListBullet"/>
        <w:spacing w:line="360" w:lineRule="auto" w:after="80"/>
        <w:jc w:val="both"/>
      </w:pPr>
      <w:r>
        <w:t>4.138 sessões agendadas de janeiro a julho de 2024;</w:t>
      </w:r>
    </w:p>
    <w:p>
      <w:pPr>
        <w:pStyle w:val="ListBullet"/>
        <w:spacing w:line="360" w:lineRule="auto" w:after="80"/>
        <w:jc w:val="both"/>
      </w:pPr>
      <w:r>
        <w:t>2.268 sessões realizadas janeiro a julho de 2024;</w:t>
      </w:r>
    </w:p>
    <w:p>
      <w:pPr>
        <w:pStyle w:val="ListBullet"/>
        <w:spacing w:line="360" w:lineRule="auto" w:after="240"/>
        <w:jc w:val="both"/>
      </w:pPr>
      <w:r>
        <w:t>1.705 acordos celebrados janeiro a julho de 2024.</w:t>
      </w:r>
    </w:p>
    <w:p>
      <w:pPr>
        <w:spacing w:line="360" w:lineRule="auto" w:after="160"/>
        <w:jc w:val="both"/>
      </w:pPr>
      <w:r>
        <w:rPr>
          <w:rFonts w:ascii="Calibri" w:hAnsi="Calibri"/>
          <w:b/>
          <w:color w:val="A21612"/>
          <w:sz w:val="24"/>
        </w:rPr>
        <w:t>Projeto Cidadania, Democracia e Justiça aos Povos Originários em Minas Gerais</w:t>
      </w:r>
    </w:p>
    <w:p>
      <w:pPr>
        <w:pStyle w:val="ListBullet"/>
        <w:spacing w:line="360" w:lineRule="auto" w:after="80"/>
        <w:jc w:val="both"/>
      </w:pPr>
      <w:r>
        <w:t>8 ações de itinerâncias realizadas pelo projeto Cidadania, Democracia e Justiça aos Povos Originários em Minas Gerais, incluindo a promoção de 3 reuniões com parceiros, 5 escutas ativas, 13 audiências com a celebração de 13 acordos, 189 atendimentos de cidadania;</w:t>
      </w:r>
    </w:p>
    <w:p>
      <w:pPr>
        <w:pStyle w:val="ListBullet"/>
        <w:spacing w:line="360" w:lineRule="auto" w:after="80"/>
        <w:jc w:val="both"/>
      </w:pPr>
      <w:r>
        <w:t>Oficinas de Divórcio e Parentalidade;</w:t>
      </w:r>
    </w:p>
    <w:p>
      <w:pPr>
        <w:pStyle w:val="ListBullet"/>
        <w:spacing w:line="360" w:lineRule="auto" w:after="240"/>
        <w:jc w:val="both"/>
      </w:pPr>
      <w:r>
        <w:t>35 oficinas realizadas entre janeiro e julho de 2024.</w:t>
      </w:r>
    </w:p>
    <w:p>
      <w:pPr>
        <w:spacing w:line="360" w:lineRule="auto" w:after="160"/>
        <w:jc w:val="both"/>
      </w:pPr>
      <w:r>
        <w:rPr>
          <w:rFonts w:ascii="Calibri" w:hAnsi="Calibri"/>
          <w:b/>
          <w:color w:val="A21612"/>
          <w:sz w:val="24"/>
        </w:rPr>
        <w:t>Processos Circulares para Grupos do TJMG – Justiça Restaurativa</w:t>
      </w:r>
    </w:p>
    <w:p>
      <w:pPr>
        <w:pStyle w:val="ListBullet"/>
        <w:spacing w:line="360" w:lineRule="auto" w:after="240"/>
        <w:jc w:val="both"/>
      </w:pPr>
      <w:r>
        <w:t>Em 2024, de janeiro a agosto, 99 trabalhadores contemplados com a realização de 12 círculos virtuais, com 12 temas diversos e 204 trabalhadores beneficiados com a realização de 13 círculos presenciais.</w:t>
      </w:r>
    </w:p>
    <w:p>
      <w:pPr>
        <w:spacing w:line="360" w:lineRule="auto" w:after="160"/>
        <w:jc w:val="both"/>
      </w:pPr>
      <w:r>
        <w:rPr>
          <w:rFonts w:ascii="Calibri" w:hAnsi="Calibri"/>
          <w:b/>
          <w:color w:val="A21612"/>
          <w:sz w:val="24"/>
        </w:rPr>
        <w:t>Expansão do Serviço de Atendimento ao Consumidor Superendividado</w:t>
      </w:r>
    </w:p>
    <w:p>
      <w:pPr>
        <w:pStyle w:val="ListBullet"/>
        <w:spacing w:line="360" w:lineRule="auto" w:after="240"/>
        <w:jc w:val="both"/>
      </w:pPr>
      <w:r>
        <w:t>Até agosto de 2024, foram instalados 16 postos de atendimento pré-processual nas comarcas de:</w:t>
      </w:r>
    </w:p>
    <w:tbl>
      <w:tblPr>
        <w:tblStyle w:val="TableGrid"/>
        <w:tblW w:type="auto" w:w="0"/>
        <w:tblLook w:firstColumn="1" w:firstRow="1" w:lastColumn="0" w:lastRow="0" w:noHBand="0" w:noVBand="1" w:val="04A0"/>
      </w:tblPr>
      <w:tblGrid>
        <w:gridCol w:w="2268"/>
        <w:gridCol w:w="2268"/>
        <w:gridCol w:w="2268"/>
        <w:gridCol w:w="2268"/>
      </w:tblGrid>
      <w:tr>
        <w:trPr>
          <w:trHeight w:val="340" w:hRule="atLeast"/>
        </w:trPr>
        <w:tc>
          <w:tcPr>
            <w:tcW w:type="dxa" w:w="2268"/>
            <w:tcBorders>
              <w:top w:val="single" w:sz="4" w:color="000000"/>
              <w:bottom w:val="single" w:sz="4" w:color="000000"/>
              <w:left w:val="single" w:sz="4" w:color="000000"/>
              <w:right w:val="single" w:sz="4" w:color="000000"/>
            </w:tcBorders>
            <w:vAlign w:val="center"/>
            <w:shd w:fill="D9D9D9"/>
          </w:tcPr>
          <w:p>
            <w:pPr>
              <w:spacing w:before="0" w:after="0"/>
              <w:jc w:val="center"/>
            </w:pPr>
            <w:r>
              <w:rPr>
                <w:rFonts w:ascii="Calibri" w:hAnsi="Calibri"/>
                <w:b w:val="0"/>
                <w:color w:val="000000"/>
                <w:sz w:val="24"/>
              </w:rPr>
              <w:t>Brasília de Minas</w:t>
            </w:r>
          </w:p>
        </w:tc>
        <w:tc>
          <w:tcPr>
            <w:tcW w:type="dxa" w:w="2268"/>
            <w:tcBorders>
              <w:top w:val="single" w:sz="4" w:color="000000"/>
              <w:bottom w:val="single" w:sz="4" w:color="000000"/>
              <w:left w:val="single" w:sz="4" w:color="000000"/>
              <w:right w:val="single" w:sz="4" w:color="000000"/>
            </w:tcBorders>
            <w:vAlign w:val="center"/>
            <w:shd w:fill="D9D9D9"/>
          </w:tcPr>
          <w:p>
            <w:pPr>
              <w:spacing w:before="0" w:after="0"/>
              <w:jc w:val="center"/>
            </w:pPr>
            <w:r>
              <w:rPr>
                <w:rFonts w:ascii="Calibri" w:hAnsi="Calibri"/>
                <w:b w:val="0"/>
                <w:color w:val="000000"/>
                <w:sz w:val="24"/>
              </w:rPr>
              <w:t>Caeté</w:t>
            </w:r>
          </w:p>
        </w:tc>
        <w:tc>
          <w:tcPr>
            <w:tcW w:type="dxa" w:w="2268"/>
            <w:tcBorders>
              <w:top w:val="single" w:sz="4" w:color="000000"/>
              <w:bottom w:val="single" w:sz="4" w:color="000000"/>
              <w:left w:val="single" w:sz="4" w:color="000000"/>
              <w:right w:val="single" w:sz="4" w:color="000000"/>
            </w:tcBorders>
            <w:vAlign w:val="center"/>
            <w:shd w:fill="D9D9D9"/>
          </w:tcPr>
          <w:p>
            <w:pPr>
              <w:spacing w:before="0" w:after="0"/>
              <w:jc w:val="center"/>
            </w:pPr>
            <w:r>
              <w:rPr>
                <w:rFonts w:ascii="Calibri" w:hAnsi="Calibri"/>
                <w:b w:val="0"/>
                <w:color w:val="000000"/>
                <w:sz w:val="24"/>
              </w:rPr>
              <w:t>Frutal</w:t>
            </w:r>
          </w:p>
        </w:tc>
        <w:tc>
          <w:tcPr>
            <w:tcW w:type="dxa" w:w="2268"/>
            <w:tcBorders>
              <w:top w:val="single" w:sz="4" w:color="000000"/>
              <w:bottom w:val="single" w:sz="4" w:color="000000"/>
              <w:left w:val="single" w:sz="4" w:color="000000"/>
              <w:right w:val="single" w:sz="4" w:color="000000"/>
            </w:tcBorders>
            <w:vAlign w:val="center"/>
            <w:shd w:fill="D9D9D9"/>
          </w:tcPr>
          <w:p>
            <w:pPr>
              <w:spacing w:before="0" w:after="0"/>
              <w:jc w:val="center"/>
            </w:pPr>
            <w:r>
              <w:rPr>
                <w:rFonts w:ascii="Calibri" w:hAnsi="Calibri"/>
                <w:b w:val="0"/>
                <w:color w:val="000000"/>
                <w:sz w:val="24"/>
              </w:rPr>
              <w:t>Itajubá</w:t>
            </w:r>
          </w:p>
        </w:tc>
      </w:tr>
      <w:tr>
        <w:trPr>
          <w:trHeight w:val="340" w:hRule="atLeast"/>
        </w:trPr>
        <w:tc>
          <w:tcPr>
            <w:tcW w:type="dxa" w:w="2268"/>
            <w:tcBorders>
              <w:top w:val="single" w:sz="4" w:color="000000"/>
              <w:bottom w:val="single" w:sz="4" w:color="000000"/>
              <w:left w:val="single" w:sz="4" w:color="000000"/>
              <w:right w:val="single" w:sz="4" w:color="000000"/>
            </w:tcBorders>
            <w:vAlign w:val="center"/>
          </w:tcPr>
          <w:p>
            <w:pPr>
              <w:spacing w:before="0" w:after="0"/>
              <w:jc w:val="center"/>
            </w:pPr>
            <w:r>
              <w:rPr>
                <w:rFonts w:ascii="Calibri" w:hAnsi="Calibri"/>
                <w:b w:val="0"/>
                <w:color w:val="000000"/>
                <w:sz w:val="24"/>
              </w:rPr>
              <w:t>João Monlevade</w:t>
            </w:r>
          </w:p>
        </w:tc>
        <w:tc>
          <w:tcPr>
            <w:tcW w:type="dxa" w:w="2268"/>
            <w:tcBorders>
              <w:top w:val="single" w:sz="4" w:color="000000"/>
              <w:bottom w:val="single" w:sz="4" w:color="000000"/>
              <w:left w:val="single" w:sz="4" w:color="000000"/>
              <w:right w:val="single" w:sz="4" w:color="000000"/>
            </w:tcBorders>
            <w:vAlign w:val="center"/>
          </w:tcPr>
          <w:p>
            <w:pPr>
              <w:spacing w:before="0" w:after="0"/>
              <w:jc w:val="center"/>
            </w:pPr>
            <w:r>
              <w:rPr>
                <w:rFonts w:ascii="Calibri" w:hAnsi="Calibri"/>
                <w:b w:val="0"/>
                <w:color w:val="000000"/>
                <w:sz w:val="24"/>
              </w:rPr>
              <w:t>Manhuaçu</w:t>
            </w:r>
          </w:p>
        </w:tc>
        <w:tc>
          <w:tcPr>
            <w:tcW w:type="dxa" w:w="2268"/>
            <w:tcBorders>
              <w:top w:val="single" w:sz="4" w:color="000000"/>
              <w:bottom w:val="single" w:sz="4" w:color="000000"/>
              <w:left w:val="single" w:sz="4" w:color="000000"/>
              <w:right w:val="single" w:sz="4" w:color="000000"/>
            </w:tcBorders>
            <w:vAlign w:val="center"/>
          </w:tcPr>
          <w:p>
            <w:pPr>
              <w:spacing w:before="0" w:after="0"/>
              <w:jc w:val="center"/>
            </w:pPr>
            <w:r>
              <w:rPr>
                <w:rFonts w:ascii="Calibri" w:hAnsi="Calibri"/>
                <w:b w:val="0"/>
                <w:color w:val="000000"/>
                <w:sz w:val="24"/>
              </w:rPr>
              <w:t>Mariana</w:t>
            </w:r>
          </w:p>
        </w:tc>
        <w:tc>
          <w:tcPr>
            <w:tcW w:type="dxa" w:w="2268"/>
            <w:tcBorders>
              <w:top w:val="single" w:sz="4" w:color="000000"/>
              <w:bottom w:val="single" w:sz="4" w:color="000000"/>
              <w:left w:val="single" w:sz="4" w:color="000000"/>
              <w:right w:val="single" w:sz="4" w:color="000000"/>
            </w:tcBorders>
            <w:vAlign w:val="center"/>
          </w:tcPr>
          <w:p>
            <w:pPr>
              <w:spacing w:before="0" w:after="0"/>
              <w:jc w:val="center"/>
            </w:pPr>
            <w:r>
              <w:rPr>
                <w:rFonts w:ascii="Calibri" w:hAnsi="Calibri"/>
                <w:b w:val="0"/>
                <w:color w:val="000000"/>
                <w:sz w:val="24"/>
              </w:rPr>
              <w:t>Monte Carmelo</w:t>
            </w:r>
          </w:p>
        </w:tc>
      </w:tr>
      <w:tr>
        <w:trPr>
          <w:trHeight w:val="340" w:hRule="atLeast"/>
        </w:trPr>
        <w:tc>
          <w:tcPr>
            <w:tcW w:type="dxa" w:w="2268"/>
            <w:tcBorders>
              <w:top w:val="single" w:sz="4" w:color="000000"/>
              <w:bottom w:val="single" w:sz="4" w:color="000000"/>
              <w:left w:val="single" w:sz="4" w:color="000000"/>
              <w:right w:val="single" w:sz="4" w:color="000000"/>
            </w:tcBorders>
            <w:vAlign w:val="center"/>
            <w:shd w:fill="D9D9D9"/>
          </w:tcPr>
          <w:p>
            <w:pPr>
              <w:spacing w:before="0" w:after="0"/>
              <w:jc w:val="center"/>
            </w:pPr>
            <w:r>
              <w:rPr>
                <w:rFonts w:ascii="Calibri" w:hAnsi="Calibri"/>
                <w:b w:val="0"/>
                <w:color w:val="000000"/>
                <w:sz w:val="24"/>
              </w:rPr>
              <w:t>Montes Claros</w:t>
            </w:r>
          </w:p>
        </w:tc>
        <w:tc>
          <w:tcPr>
            <w:tcW w:type="dxa" w:w="2268"/>
            <w:tcBorders>
              <w:top w:val="single" w:sz="4" w:color="000000"/>
              <w:bottom w:val="single" w:sz="4" w:color="000000"/>
              <w:left w:val="single" w:sz="4" w:color="000000"/>
              <w:right w:val="single" w:sz="4" w:color="000000"/>
            </w:tcBorders>
            <w:vAlign w:val="center"/>
            <w:shd w:fill="D9D9D9"/>
          </w:tcPr>
          <w:p>
            <w:pPr>
              <w:spacing w:before="0" w:after="0"/>
              <w:jc w:val="center"/>
            </w:pPr>
            <w:r>
              <w:rPr>
                <w:rFonts w:ascii="Calibri" w:hAnsi="Calibri"/>
                <w:b w:val="0"/>
                <w:color w:val="000000"/>
                <w:sz w:val="24"/>
              </w:rPr>
              <w:t>Muriaé</w:t>
            </w:r>
          </w:p>
        </w:tc>
        <w:tc>
          <w:tcPr>
            <w:tcW w:type="dxa" w:w="2268"/>
            <w:tcBorders>
              <w:top w:val="single" w:sz="4" w:color="000000"/>
              <w:bottom w:val="single" w:sz="4" w:color="000000"/>
              <w:left w:val="single" w:sz="4" w:color="000000"/>
              <w:right w:val="single" w:sz="4" w:color="000000"/>
            </w:tcBorders>
            <w:vAlign w:val="center"/>
            <w:shd w:fill="D9D9D9"/>
          </w:tcPr>
          <w:p>
            <w:pPr>
              <w:spacing w:before="0" w:after="0"/>
              <w:jc w:val="center"/>
            </w:pPr>
            <w:r>
              <w:rPr>
                <w:rFonts w:ascii="Calibri" w:hAnsi="Calibri"/>
                <w:b w:val="0"/>
                <w:color w:val="000000"/>
                <w:sz w:val="24"/>
              </w:rPr>
              <w:t>Nova Serrana</w:t>
            </w:r>
          </w:p>
        </w:tc>
        <w:tc>
          <w:tcPr>
            <w:tcW w:type="dxa" w:w="2268"/>
            <w:tcBorders>
              <w:top w:val="single" w:sz="4" w:color="000000"/>
              <w:bottom w:val="single" w:sz="4" w:color="000000"/>
              <w:left w:val="single" w:sz="4" w:color="000000"/>
              <w:right w:val="single" w:sz="4" w:color="000000"/>
            </w:tcBorders>
            <w:vAlign w:val="center"/>
            <w:shd w:fill="D9D9D9"/>
          </w:tcPr>
          <w:p>
            <w:pPr>
              <w:spacing w:before="0" w:after="0"/>
              <w:jc w:val="center"/>
            </w:pPr>
            <w:r>
              <w:rPr>
                <w:rFonts w:ascii="Calibri" w:hAnsi="Calibri"/>
                <w:b w:val="0"/>
                <w:color w:val="000000"/>
                <w:sz w:val="24"/>
              </w:rPr>
              <w:t>Ponte Nova</w:t>
            </w:r>
          </w:p>
        </w:tc>
      </w:tr>
      <w:tr>
        <w:trPr>
          <w:trHeight w:val="340" w:hRule="atLeast"/>
        </w:trPr>
        <w:tc>
          <w:tcPr>
            <w:tcW w:type="dxa" w:w="2268"/>
            <w:tcBorders>
              <w:top w:val="single" w:sz="4" w:color="000000"/>
              <w:bottom w:val="single" w:sz="4" w:color="000000"/>
              <w:left w:val="single" w:sz="4" w:color="000000"/>
              <w:right w:val="single" w:sz="4" w:color="000000"/>
            </w:tcBorders>
            <w:vAlign w:val="center"/>
          </w:tcPr>
          <w:p>
            <w:pPr>
              <w:spacing w:before="0" w:after="0"/>
              <w:jc w:val="center"/>
            </w:pPr>
            <w:r>
              <w:rPr>
                <w:rFonts w:ascii="Calibri" w:hAnsi="Calibri"/>
                <w:b w:val="0"/>
                <w:color w:val="000000"/>
                <w:sz w:val="24"/>
              </w:rPr>
              <w:t>Porteirinha</w:t>
            </w:r>
          </w:p>
        </w:tc>
        <w:tc>
          <w:tcPr>
            <w:tcW w:type="dxa" w:w="2268"/>
            <w:tcBorders>
              <w:top w:val="single" w:sz="4" w:color="000000"/>
              <w:bottom w:val="single" w:sz="4" w:color="000000"/>
              <w:left w:val="single" w:sz="4" w:color="000000"/>
              <w:right w:val="single" w:sz="4" w:color="000000"/>
            </w:tcBorders>
            <w:vAlign w:val="center"/>
          </w:tcPr>
          <w:p>
            <w:pPr>
              <w:spacing w:before="0" w:after="0"/>
              <w:jc w:val="center"/>
            </w:pPr>
            <w:r>
              <w:rPr>
                <w:rFonts w:ascii="Calibri" w:hAnsi="Calibri"/>
                <w:b w:val="0"/>
                <w:color w:val="000000"/>
                <w:sz w:val="24"/>
              </w:rPr>
              <w:t>Uberaba</w:t>
            </w:r>
          </w:p>
        </w:tc>
        <w:tc>
          <w:tcPr>
            <w:tcW w:type="dxa" w:w="2268"/>
            <w:tcBorders>
              <w:top w:val="single" w:sz="4" w:color="000000"/>
              <w:bottom w:val="single" w:sz="4" w:color="000000"/>
              <w:left w:val="single" w:sz="4" w:color="000000"/>
              <w:right w:val="single" w:sz="4" w:color="000000"/>
            </w:tcBorders>
            <w:vAlign w:val="center"/>
          </w:tcPr>
          <w:p>
            <w:pPr>
              <w:spacing w:before="0" w:after="0"/>
              <w:jc w:val="center"/>
            </w:pPr>
            <w:r>
              <w:rPr>
                <w:rFonts w:ascii="Calibri" w:hAnsi="Calibri"/>
                <w:b w:val="0"/>
                <w:color w:val="000000"/>
                <w:sz w:val="24"/>
              </w:rPr>
              <w:t>Unaí</w:t>
            </w:r>
          </w:p>
        </w:tc>
        <w:tc>
          <w:tcPr>
            <w:tcW w:type="dxa" w:w="2268"/>
            <w:tcBorders>
              <w:top w:val="single" w:sz="4" w:color="000000"/>
              <w:bottom w:val="single" w:sz="4" w:color="000000"/>
              <w:left w:val="single" w:sz="4" w:color="000000"/>
              <w:right w:val="single" w:sz="4" w:color="000000"/>
            </w:tcBorders>
            <w:vAlign w:val="center"/>
          </w:tcPr>
          <w:p>
            <w:pPr>
              <w:spacing w:before="0" w:after="0"/>
              <w:jc w:val="center"/>
            </w:pPr>
            <w:r>
              <w:rPr>
                <w:rFonts w:ascii="Calibri" w:hAnsi="Calibri"/>
                <w:b w:val="0"/>
                <w:color w:val="000000"/>
                <w:sz w:val="24"/>
              </w:rPr>
              <w:t>Vazante</w:t>
            </w:r>
          </w:p>
        </w:tc>
      </w:tr>
    </w:tbl>
    <w:p>
      <w:pPr>
        <w:spacing w:line="360" w:lineRule="auto" w:after="160"/>
        <w:jc w:val="both"/>
      </w:pPr>
      <w:r>
        <w:rPr>
          <w:rFonts w:ascii="Calibri" w:hAnsi="Calibri"/>
          <w:b/>
          <w:color w:val="A21612"/>
          <w:sz w:val="24"/>
        </w:rPr>
        <w:t>Orquestra Jovem e Coral Infantojuvenil</w:t>
      </w:r>
    </w:p>
    <w:p>
      <w:pPr>
        <w:spacing w:line="360" w:lineRule="auto" w:after="160"/>
        <w:jc w:val="both"/>
      </w:pPr>
      <w:r>
        <w:t>436 crianças e adolescentes participantes da Orquestra Jovem e do Coral Infantojuvenil entre janeiro e agosto de 2024.</w:t>
      </w:r>
    </w:p>
    <w:p>
      <w:pPr>
        <w:pStyle w:val="ListBullet"/>
        <w:spacing w:line="360" w:lineRule="auto" w:after="80"/>
        <w:jc w:val="both"/>
      </w:pPr>
      <w:r>
        <w:t>Desde o início do projeto, 1.560 crianças e adolescentes já foram beneficiados.</w:t>
      </w:r>
    </w:p>
    <w:p>
      <w:pPr>
        <w:pStyle w:val="ListBullet"/>
        <w:spacing w:line="360" w:lineRule="auto" w:after="80"/>
        <w:jc w:val="both"/>
      </w:pPr>
      <w:r>
        <w:t>Ao longo do ano, 20 apresentações já foram realizadas entre solenidades, eventos institucionais, concertos, apresentações, Posse da Nova Direção etc.</w:t>
      </w:r>
    </w:p>
    <w:p>
      <w:pPr>
        <w:pStyle w:val="ListBullet"/>
        <w:spacing w:line="360" w:lineRule="auto" w:after="240"/>
        <w:jc w:val="both"/>
      </w:pPr>
      <w:r>
        <w:t>Atualmente, 238 crianças e adolescentes estão em processo de seleção para integrarem a Orquestra Jovem e o Coral Infantojuvenil.</w:t>
      </w:r>
    </w:p>
    <w:p>
      <w:pPr>
        <w:spacing w:line="360" w:lineRule="auto" w:after="160"/>
        <w:jc w:val="both"/>
      </w:pPr>
      <w:r>
        <w:rPr>
          <w:rFonts w:ascii="Calibri" w:hAnsi="Calibri"/>
          <w:b/>
          <w:color w:val="A21612"/>
          <w:sz w:val="24"/>
        </w:rPr>
        <w:t>Implantação do Sistema de Apresentação Remota e Reconhecimento Facial – SAREF (Projeto piloto na VEP/BH)</w:t>
      </w:r>
    </w:p>
    <w:p>
      <w:pPr>
        <w:pStyle w:val="ListBullet"/>
        <w:spacing w:line="360" w:lineRule="auto" w:after="240"/>
        <w:jc w:val="both"/>
      </w:pPr>
      <w:r>
        <w:t>Lançamento do Projeto de Implantação do Sistema de Apresentação Remota e reconhecimento Facial – SAREF, contribuindo para o desafogamento das unidades judiciárias e dando mais segurança e comodidade para o usuário.</w:t>
      </w:r>
    </w:p>
    <w:p>
      <w:pPr>
        <w:spacing w:line="360" w:lineRule="auto" w:after="160"/>
        <w:jc w:val="both"/>
      </w:pPr>
      <w:r>
        <w:rPr>
          <w:rFonts w:ascii="Calibri" w:hAnsi="Calibri"/>
          <w:b/>
          <w:color w:val="A21612"/>
          <w:sz w:val="24"/>
        </w:rPr>
        <w:t>2ª Semana Nacional do Registro Civil – Registre-se</w:t>
      </w:r>
    </w:p>
    <w:p>
      <w:pPr>
        <w:pStyle w:val="ListBullet"/>
        <w:spacing w:line="360" w:lineRule="auto" w:after="240"/>
        <w:jc w:val="both"/>
      </w:pPr>
      <w:r>
        <w:t>6.272 atendimentos realizados, entre 13 e 17 de maio de 2024, para pessoas em situação de rua, pré-egressos dos Sistemas Socioeducativo e Prisional e para população indígena, resultando na emissão de 1.454 certidões de registro civil e de 2.445 carteiras de identidades.</w:t>
      </w:r>
    </w:p>
    <w:p>
      <w:pPr>
        <w:spacing w:line="360" w:lineRule="auto" w:after="160"/>
        <w:jc w:val="both"/>
      </w:pPr>
      <w:r>
        <w:rPr>
          <w:rFonts w:ascii="Calibri" w:hAnsi="Calibri"/>
          <w:b/>
          <w:color w:val="A21612"/>
          <w:sz w:val="24"/>
        </w:rPr>
        <w:t>Exames de DNA – justiça gratuita</w:t>
      </w:r>
    </w:p>
    <w:p>
      <w:pPr>
        <w:pStyle w:val="ListBullet"/>
        <w:spacing w:line="360" w:lineRule="auto" w:after="240"/>
        <w:jc w:val="both"/>
      </w:pPr>
      <w:r>
        <w:t>2.083 exames de DNA realizados entre janeiro e agosto de 2024 em ações judiciais ou para o atendimento extrajudicial de investigação de paternidade/maternidade e de outros vínculos genéticos referentes às demandas em que as partes estejam acobertadas pela justiça gratuita.</w:t>
      </w:r>
    </w:p>
    <w:p>
      <w:pPr>
        <w:spacing w:line="360" w:lineRule="auto" w:after="160"/>
        <w:jc w:val="both"/>
      </w:pPr>
      <w:r>
        <w:rPr>
          <w:rFonts w:ascii="Calibri" w:hAnsi="Calibri"/>
          <w:b/>
          <w:color w:val="A21612"/>
          <w:sz w:val="24"/>
        </w:rPr>
        <w:t>Outras Ações Sociais do TJMG</w:t>
      </w:r>
    </w:p>
    <w:p>
      <w:pPr>
        <w:pStyle w:val="ListBullet"/>
        <w:spacing w:line="360" w:lineRule="auto" w:after="80"/>
        <w:jc w:val="both"/>
      </w:pPr>
      <w:r>
        <w:t>Expansão do projeto Mano Dow;</w:t>
      </w:r>
    </w:p>
    <w:p>
      <w:pPr>
        <w:pStyle w:val="ListBullet"/>
        <w:spacing w:line="360" w:lineRule="auto" w:after="80"/>
        <w:jc w:val="both"/>
      </w:pPr>
      <w:r>
        <w:t>Programa conhecendo o Judiciário;</w:t>
      </w:r>
    </w:p>
    <w:p>
      <w:pPr>
        <w:pStyle w:val="ListBullet"/>
        <w:spacing w:line="360" w:lineRule="auto" w:after="80"/>
        <w:jc w:val="both"/>
      </w:pPr>
      <w:r>
        <w:t>TJMG Cultural;</w:t>
      </w:r>
    </w:p>
    <w:p>
      <w:pPr>
        <w:pStyle w:val="ListBullet"/>
        <w:spacing w:line="360" w:lineRule="auto" w:after="80"/>
        <w:jc w:val="both"/>
      </w:pPr>
      <w:r>
        <w:t>Igualdade Racial e de Gênero;</w:t>
      </w:r>
    </w:p>
    <w:p>
      <w:pPr>
        <w:pStyle w:val="ListBullet"/>
        <w:spacing w:line="360" w:lineRule="auto" w:after="80"/>
        <w:jc w:val="both"/>
      </w:pPr>
      <w:r>
        <w:t>Inclusão Social;</w:t>
      </w:r>
    </w:p>
    <w:p>
      <w:pPr>
        <w:pStyle w:val="ListBullet"/>
        <w:spacing w:line="360" w:lineRule="auto" w:after="240"/>
        <w:jc w:val="both"/>
      </w:pPr>
      <w:r>
        <w:t>Ouvidoria Itinerante.</w:t>
      </w:r>
    </w:p>
    <w:p>
      <w:pPr>
        <w:pStyle w:val="Heading2"/>
        <w:spacing w:after="400"/>
      </w:pPr>
      <w:r>
        <w:t>3.10 Comunicação Institucional - Ouvidoria</w:t>
      </w:r>
    </w:p>
    <w:p>
      <w:pPr>
        <w:spacing w:line="360" w:lineRule="auto" w:after="160"/>
        <w:jc w:val="both"/>
      </w:pPr>
      <w:r>
        <w:t>Com a finalidade de aprimorar a interlocução entre a sociedade e o Tribunal de Justiça do Estado de Minas Gerais, a Ouvidoria teve sua estrutura aperfeiçoada pela Resolução nº 862 de 19 de dezembro de 2017.</w:t>
      </w:r>
    </w:p>
    <w:p>
      <w:pPr>
        <w:spacing w:line="360" w:lineRule="auto" w:after="160"/>
        <w:jc w:val="both"/>
      </w:pPr>
      <w:r>
        <w:t>Compete à Ouvidoria, no âmbito de suas atribuições, prestar esclarecimentos ao cidadão sobre a função constitucional, a estrutura e o funcionamento dos órgãos do Poder Judiciário, bem como sobre as ações desenvolvidas pelo TJMG e outras informações administrativas de interesse público.</w:t>
      </w:r>
    </w:p>
    <w:p>
      <w:pPr>
        <w:spacing w:line="360" w:lineRule="auto" w:after="160"/>
        <w:jc w:val="both"/>
      </w:pPr>
      <w:r>
        <w:t>As solicitações de informações, comentários, dúvidas, denúncias, críticas e sugestões poderão ser encaminhadas por meio de formulários eletrônicos.</w:t>
      </w:r>
    </w:p>
    <w:p>
      <w:pPr>
        <w:spacing w:line="360" w:lineRule="auto" w:after="160"/>
        <w:jc w:val="both"/>
      </w:pPr>
      <w:r>
        <w:t>Em 2024, no atendimento às demandas dos cidadãos, o painel estatístico da Ouvidoria do TJMG revelou os seguintes apontamentos:</w:t>
      </w:r>
    </w:p>
    <w:p>
      <w:r>
        <w:t>[ERRO: MAPEAMENTO DE IMAGEM AUSENTE PARA: Figura 17 - Estatística 2024 de atendimentos Ouvidoria – Painel Estatística SIC Portal TJMG]</w:t>
      </w:r>
    </w:p>
    <w:p>
      <w:pPr>
        <w:spacing w:before="120" w:after="0"/>
        <w:jc w:val="left"/>
      </w:pPr>
      <w:r>
        <w:rPr>
          <w:rFonts w:ascii="Calibri" w:hAnsi="Calibri"/>
          <w:b w:val="0"/>
          <w:sz w:val="16"/>
        </w:rPr>
        <w:t>Figura 17 - Estatística 2024 de atendimentos Ouvidoria – Painel Estatística SIC Portal TJMG</w:t>
      </w:r>
    </w:p>
    <w:p>
      <w:pPr>
        <w:spacing w:line="360" w:lineRule="auto" w:after="160"/>
        <w:jc w:val="both"/>
      </w:pPr>
      <w:r>
        <w:t>4.</w:t>
        <w:tab/>
        <w:t>DESEMPENHO INSTITUCIONAL</w:t>
      </w:r>
    </w:p>
    <w:p>
      <w:pPr>
        <w:spacing w:line="360" w:lineRule="auto" w:after="160"/>
        <w:jc w:val="both"/>
      </w:pPr>
      <w:r>
        <w:t>Este capítulo apresentará a performance do TJMG nos principais indicadores acompanhados pela Instituição, relacionados tanto à prestação jurisdicional quanto às questões administrativas.</w:t>
      </w:r>
    </w:p>
    <w:p>
      <w:pPr>
        <w:pStyle w:val="Heading1"/>
        <w:spacing w:after="400"/>
      </w:pPr>
      <w:r>
        <w:t>4. DESEMPENHO INSTITUCIONAL</w:t>
      </w:r>
    </w:p>
    <w:p>
      <w:pPr>
        <w:pStyle w:val="Heading2"/>
        <w:spacing w:after="400"/>
      </w:pPr>
      <w:r>
        <w:t>4.1 Desempenho do TJMG no Relatório “Justiça em Números”</w:t>
      </w:r>
    </w:p>
    <w:p>
      <w:pPr>
        <w:spacing w:line="360" w:lineRule="auto" w:after="160"/>
        <w:jc w:val="both"/>
      </w:pPr>
      <w:r>
        <w:t>O relatório “Justiça em Números” é uma minuciosa radiografia com informações detalhadas sobre o desempenho dos órgãos que integram o Poder Judiciário brasileiro, com abordagem dos gastos, estrutura em geral, produtividade e eficiência. Ressaltamos que o relatório de 2024 utilizou primordialmente os dados da Base Nacional de Dados do Poder Judiciário (Datajud), responsável por armazenar dados processuais dos tribunais.</w:t>
      </w:r>
    </w:p>
    <w:p>
      <w:pPr>
        <w:spacing w:line="360" w:lineRule="auto" w:after="160"/>
        <w:jc w:val="both"/>
      </w:pPr>
      <w:r>
        <w:t>Apresentamos um consolidado de dados do TJMG extraídos dos relatórios Justiça em Números, nos últimos 06 (seis) anos:</w:t>
      </w:r>
    </w:p>
    <w:p>
      <w:pPr>
        <w:pStyle w:val="Heading3"/>
        <w:spacing w:after="400"/>
      </w:pPr>
      <w:r>
        <w:t>4.1.1 Resultados Positivos do TJMG Frente aos Tribunais Estaduais de Grande Porte - Destaques do Relatório “Justiça em Números - 2024”</w:t>
      </w:r>
    </w:p>
    <w:p>
      <w:pPr>
        <w:pStyle w:val="Heading3"/>
        <w:spacing w:after="400"/>
      </w:pPr>
      <w:r>
        <w:t>4.1.2 Oportunidades de Melhorias do TJMG Frente aos Tribunais Estaduais de Grande Porte - Destaques do Relatório “Justiça em Números - 2024”</w:t>
      </w:r>
    </w:p>
    <w:p>
      <w:pPr>
        <w:pStyle w:val="Heading2"/>
        <w:spacing w:after="400"/>
      </w:pPr>
      <w:r>
        <w:t>4.2 Desempenho do TJMG no Planejamento Estratégico 2024</w:t>
      </w:r>
    </w:p>
    <w:p>
      <w:pPr>
        <w:pStyle w:val="Heading3"/>
        <w:spacing w:after="400"/>
      </w:pPr>
      <w:r>
        <w:t>4.2.1 Resultados das Metas Nacionais</w:t>
      </w:r>
    </w:p>
    <w:p>
      <w:pPr>
        <w:pStyle w:val="Heading3"/>
        <w:spacing w:after="400"/>
      </w:pPr>
      <w:r>
        <w:t>4.2.2 Resultados das Metas Institucionais</w:t>
      </w:r>
    </w:p>
    <w:p>
      <w:pPr>
        <w:pStyle w:val="Heading1"/>
        <w:spacing w:after="400"/>
      </w:pPr>
      <w:r>
        <w:t>5. Performance do TJMG no Balanço Socioambiental do Poder Judiciário</w:t>
      </w:r>
    </w:p>
    <w:p>
      <w:pPr>
        <w:pStyle w:val="Heading2"/>
        <w:spacing w:after="400"/>
      </w:pPr>
      <w:r>
        <w:t>5.1 Destaques da Sustentabilidade no TJMG em 2024</w:t>
      </w:r>
    </w:p>
    <w:p>
      <w:pPr>
        <w:pStyle w:val="Heading2"/>
        <w:spacing w:after="400"/>
      </w:pPr>
      <w:r>
        <w:t>5.2 Oportunidades de Melhoria no Desempenho Socioambiental</w:t>
      </w:r>
    </w:p>
    <w:p>
      <w:pPr>
        <w:pStyle w:val="Heading1"/>
        <w:spacing w:after="400"/>
      </w:pPr>
      <w:r>
        <w:t>6. Resultados da Acessibilidade e Inclusão de Pessoas com Deficiência</w:t>
      </w:r>
    </w:p>
    <w:p>
      <w:pPr>
        <w:pStyle w:val="Heading1"/>
        <w:spacing w:after="400"/>
      </w:pPr>
      <w:r>
        <w:t>7. Resultado no Ranking da Transparência</w:t>
      </w:r>
    </w:p>
    <w:p>
      <w:pPr>
        <w:pStyle w:val="Heading1"/>
        <w:spacing w:after="400"/>
      </w:pPr>
      <w:r>
        <w:t>8. Avaliação do TJMG no iGovTIC-JUD</w:t>
      </w:r>
    </w:p>
    <w:p>
      <w:pPr>
        <w:pStyle w:val="Heading1"/>
        <w:spacing w:after="400"/>
      </w:pPr>
      <w:r>
        <w:t>9. O TJMG e a Base Nacional de Dados do Poder Judiciário (DataJud)</w:t>
      </w:r>
    </w:p>
    <w:p>
      <w:pPr>
        <w:pStyle w:val="Heading2"/>
        <w:spacing w:after="400"/>
      </w:pPr>
      <w:r>
        <w:t>9.1 Desempenho no Prêmio CNJ de Qualidade 2024</w:t>
      </w:r>
    </w:p>
    <w:p>
      <w:pPr>
        <w:pStyle w:val="Heading1"/>
        <w:spacing w:after="400"/>
      </w:pPr>
      <w:r>
        <w:t>10. Pesquisa sobre Percepção e Avaliação do Poder Judiciário Brasileiro</w:t>
      </w:r>
    </w:p>
    <w:p>
      <w:pPr>
        <w:pStyle w:val="Heading1"/>
        <w:spacing w:after="400"/>
      </w:pPr>
      <w:r>
        <w:t>11. CONCLUSÃO</w:t>
      </w:r>
    </w:p>
    <w:sectPr w:rsidR="00FC693F" w:rsidRPr="0006063C" w:rsidSect="00034616">
      <w:footerReference w:type="default" r:id="rId9"/>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p>
    <w:pPr>
      <w:jc w:val="right"/>
    </w:pPr>
    <w:r>
      <w:fldChar w:fldCharType="begin"/>
    </w:r>
    <w:r>
      <w:instrText>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aps/>
      <w:color w:val="A21612"/>
      <w:sz w:val="36"/>
      <w:szCs w:val="28"/>
    </w:rPr>
  </w:style>
  <w:style w:type="paragraph" w:styleId="Heading2">
    <w:name w:val="heading 2"/>
    <w:basedOn w:val="Normal"/>
    <w:next w:val="Normal"/>
    <w:link w:val="Heading2Char"/>
    <w:uiPriority w:val="9"/>
    <w:unhideWhenUsed/>
    <w:qFormat/>
    <w:rsid w:val="00FC693F"/>
    <w:pPr>
      <w:keepNext/>
      <w:keepLines/>
      <w:spacing w:before="200" w:after="200"/>
      <w:outlineLvl w:val="1"/>
    </w:pPr>
    <w:rPr>
      <w:rFonts w:asciiTheme="majorHAnsi" w:eastAsiaTheme="majorEastAsia" w:hAnsiTheme="majorHAnsi" w:cstheme="majorBidi" w:ascii="Calibri" w:hAnsi="Calibri"/>
      <w:b/>
      <w:bCs/>
      <w:caps w:val="0"/>
      <w:color w:val="A21612"/>
      <w:sz w:val="32"/>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Theme="majorHAnsi" w:eastAsiaTheme="majorEastAsia" w:hAnsiTheme="majorHAnsi" w:cstheme="majorBidi" w:ascii="Calibri" w:hAnsi="Calibri"/>
      <w:b/>
      <w:bCs/>
      <w:color w:val="A21612"/>
      <w:sz w:val="3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