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Tabela Oficial TJMG (Métricas CNJ)</w:t>
      </w:r>
    </w:p>
    <w:tbl>
      <w:tblPr>
        <w:tblW w:type="auto" w:w="0"/>
        <w:tblLook w:firstColumn="1" w:firstRow="1" w:lastColumn="0" w:lastRow="0" w:noHBand="0" w:noVBand="1" w:val="04A0"/>
        <w:tblLayout w:type="fixed"/>
        <w:tblInd w:w="-652" w:type="dxa"/>
      </w:tblPr>
      <w:tblGrid>
        <w:gridCol w:w="3118"/>
        <w:gridCol w:w="1276"/>
        <w:gridCol w:w="1276"/>
        <w:gridCol w:w="1276"/>
        <w:gridCol w:w="1276"/>
        <w:gridCol w:w="1276"/>
        <w:gridCol w:w="1276"/>
      </w:tblGrid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272" w:hRule="atLeast"/>
          <w:cantSplit/>
          <w:tblHeader/>
        </w:trPr>
        <w:tc>
          <w:tcPr>
            <w:tcW w:type="dxa" w:w="10774"/>
            <w:gridSpan w:val="7"/>
            <w:vAlign w:val="center"/>
            <w:shd w:fill="44546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RELATÓRIO JUSTIÇA EM NÚMEROS | DADOS ANUAIS DO TJMG</w:t>
            </w:r>
          </w:p>
        </w:tc>
      </w:tr>
      <w:tr>
        <w:trPr>
          <w:trHeight w:val="272" w:hRule="atLeast"/>
          <w:cantSplit/>
          <w:tblHeader/>
        </w:trPr>
        <w:tc>
          <w:tcPr>
            <w:tcW w:type="dxa" w:w="3118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2"/>
              </w:rPr>
              <w:t>Indicador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2019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2020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2021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2022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2023</w:t>
            </w:r>
          </w:p>
        </w:tc>
        <w:tc>
          <w:tcPr>
            <w:tcW w:type="dxa" w:w="1276"/>
            <w:vAlign w:val="center"/>
            <w:shd w:fill="EEEEEE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2024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mu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pop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uj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Mag - Número de Cargos Existentes de Magistrado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952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1.006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1.004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978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956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986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Número de cargos vagos de magistrado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567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565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585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606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628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584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Total de servidores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15.165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14.980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14.496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14.955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14.467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14.167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ft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Dpj - Despesa Total da Justiça Estadual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5.790.909.062.2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6.396.561.674.0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6.735.890.807.6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8.108.940.000.4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9.634.461.461.0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10.887.518.665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DMag  Despesa com Recursos Humanos de Magistrados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1.414.992.626.0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1.600.837.103.8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1.748.614.910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1.932.078.027.4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1.908.987.873.0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2.348.217.061.6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DServ  Despesa com Recursos Humanos de Servidores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3.919.405.747.4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4.346.152.486.5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4.482.536.029.5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5.439.318.409.3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6.610.442.480.9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7.178.529.739.2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CnTST - Casos Novos no TST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1.649.265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1.636.378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1.807.102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1.931.144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2.148.148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2.014.490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Cp  Casos Pendentes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3.772.400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4.664.910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4.474.216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4.287.795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4.310.036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4.875.863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TBaix  Total de Processos Baixados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1.921.883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1.595.744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2.014.547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2.123.554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2.139.236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1.542.970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Sent - Total de Sentenças / Decisões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1.817.393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1.614.422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1.868.169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2.081.064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2.289.821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2.134.866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Ch - Casos Novos por 100.000 habitantes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7.026.7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6.773.5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7.326.3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8.104.9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8.986.0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8.055.4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IPM - Índice de Produtividade dos Magistrados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2.018.8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1.586.2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2.006.5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2.171.3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2.237.7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1.564.9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IPS - Índice de Produtividade dos Servidores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126.7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106.5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139.0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142.0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147.9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108.9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IAD - Processos Baixados por Caso Novo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TC - Taxa de Congestionamento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TCL  Taxa de Congestionamento Líquida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Cn1º - Casos Novos no 1º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894.244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813.950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919.257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1.005.770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1.093.141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1.002.295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Cn2º - Casos Novos de 2º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224.225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227.539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249.687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259.902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310.307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300.309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Cp1º - Casos Pendentes no 1º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2.821.282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3.355.402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3.215.049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3.107.469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3.094.534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3.345.084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Cp2º  Casos Pendentes no 2º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265.900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196.453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175.267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174.898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220.227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321.504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IPM1º - Índice de Produtividade dos Magistrados no 1º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1.767.9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1.249.2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1.498.8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1.621.5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1.666.1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1.191.0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IPM2º - Índice de Produtividade dos Magistrados no 2º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1.669.2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1.556.3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1.853.2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1.791.4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1.786.1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1.245.0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ips1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ips2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TC1 - Taxa de Congestionamento no 1º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TC2º - Taxa de Congestionamento no 2º Grau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CnElet  Casos Novos Eletrônicos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958.825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1.325.291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1.580.238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1.864.892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2.115.194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2.008.931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pe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j100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n4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bv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RIn  Recorribilidade Interna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Rx  Recorribilidade Externa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IC  Índice de Conciliação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0.2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0.1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tm_sent (Não encontrado)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N/D</w:t>
            </w:r>
          </w:p>
        </w:tc>
      </w:tr>
      <w:tr>
        <w:trPr>
          <w:trHeight w:val="272" w:hRule="atLeast"/>
          <w:cantSplit/>
        </w:trPr>
        <w:tc>
          <w:tcPr>
            <w:tcW w:type="dxa" w:w="3118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2"/>
              </w:rPr>
              <w:t>IPC-Jus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1.0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0.9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276"/>
            <w:vAlign w:val="center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</w:tr>
    </w:tbl>
    <w:p>
      <w:pPr>
        <w:pStyle w:val="Caption"/>
        <w:jc w:val="left"/>
      </w:pPr>
      <w:r>
        <w:t>Fonte: Base de Dados JN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