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de Tabela Justiça em Números</w:t>
      </w:r>
    </w:p>
    <w:p>
      <w:r>
        <w:t>Abaixo deve aparecer a tabela formatada com dados reais do CSV, layout fixo e recuo negativo.</w:t>
      </w:r>
    </w:p>
    <w:tbl>
      <w:tblPr>
        <w:tblW w:type="auto" w:w="0"/>
        <w:tblLook w:firstColumn="1" w:firstRow="1" w:lastColumn="0" w:lastRow="0" w:noHBand="0" w:noVBand="1" w:val="04A0"/>
        <w:tblLayout w:type="fixed"/>
        <w:tblInd w:w="-652" w:type="dxa"/>
      </w:tblPr>
      <w:tblGrid>
        <w:gridCol w:w="3118"/>
        <w:gridCol w:w="1276"/>
        <w:gridCol w:w="1276"/>
        <w:gridCol w:w="1276"/>
        <w:gridCol w:w="1276"/>
        <w:gridCol w:w="1276"/>
        <w:gridCol w:w="1276"/>
      </w:tblGrid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272" w:hRule="atLeast"/>
          <w:cantSplit/>
          <w:tblHeader/>
        </w:trPr>
        <w:tc>
          <w:tcPr>
            <w:tcW w:type="dxa" w:w="10774"/>
            <w:gridSpan w:val="7"/>
            <w:vAlign w:val="center"/>
            <w:shd w:fill="44546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Teste de Indicadores - Série Histórica TJMG</w:t>
            </w:r>
          </w:p>
        </w:tc>
      </w:tr>
      <w:tr>
        <w:trPr>
          <w:trHeight w:val="272" w:hRule="atLeast"/>
          <w:cantSplit/>
          <w:tblHeader/>
        </w:trPr>
        <w:tc>
          <w:tcPr>
            <w:tcW w:type="dxa" w:w="3118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2"/>
              </w:rPr>
              <w:t>Indicador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2019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2020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2021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2022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2023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2024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ipcm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ipcsjud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tottxcg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CnTST - Casos Novos no TST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1.649.265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1.636.378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1.807.102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1.931.144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2.148.148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2.014.490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TBaix  Total de Processos Baixados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1.921.883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1.595.744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2.014.547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2.123.554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2.139.236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1.542.970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Sent - Total de Sentenças / Decisões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1.817.393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1.614.422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1.868.169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2.081.064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2.289.821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2.134.866</w:t>
            </w:r>
          </w:p>
        </w:tc>
      </w:tr>
    </w:tbl>
    <w:p>
      <w:pPr>
        <w:pStyle w:val="Caption"/>
        <w:jc w:val="left"/>
      </w:pPr>
      <w:r>
        <w:t>Fonte: Base de Dados JN 2026 (Extração Automatizada)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