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Teste de Múltiplas Metas</w:t>
      </w:r>
    </w:p>
    <w:p/>
    <w:p>
      <w:r>
        <w:rPr>
          <w:b/>
          <w:sz w:val="24"/>
        </w:rPr>
        <w:t>1. TJMG 10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8505" w:type="dxa"/>
        <w:tblLayout w:type="fixed"/>
      </w:tblPr>
      <w:tblGrid>
        <w:gridCol w:w="1728"/>
        <w:gridCol w:w="1728"/>
        <w:gridCol w:w="1728"/>
        <w:gridCol w:w="1728"/>
        <w:gridCol w:w="1728"/>
      </w:tblGrid>
      <w:tr>
        <w:trPr>
          <w:trHeight w:val="340" w:hRule="atLeast"/>
        </w:trPr>
        <w:tc>
          <w:tcPr>
            <w:tcW w:type="dxa" w:w="1728"/>
            <w:tcW w:w="1701" w:type="dxa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left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Ano</w:t>
            </w:r>
          </w:p>
        </w:tc>
        <w:tc>
          <w:tcPr>
            <w:tcW w:type="dxa" w:w="1728"/>
            <w:tcW w:w="1701" w:type="dxa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2022</w:t>
            </w:r>
          </w:p>
        </w:tc>
        <w:tc>
          <w:tcPr>
            <w:tcW w:type="dxa" w:w="1728"/>
            <w:tcW w:w="1701" w:type="dxa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2023</w:t>
            </w:r>
          </w:p>
        </w:tc>
        <w:tc>
          <w:tcPr>
            <w:tcW w:type="dxa" w:w="1728"/>
            <w:tcW w:w="1701" w:type="dxa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2024</w:t>
            </w:r>
          </w:p>
        </w:tc>
        <w:tc>
          <w:tcPr>
            <w:tcW w:type="dxa" w:w="1728"/>
            <w:tcW w:w="1701" w:type="dxa"/>
            <w:shd w:fill="44546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2025</w:t>
            </w:r>
          </w:p>
        </w:tc>
      </w:tr>
      <w:tr>
        <w:trPr>
          <w:trHeight w:val="340" w:hRule="atLeast"/>
        </w:trPr>
        <w:tc>
          <w:tcPr>
            <w:tcW w:type="dxa" w:w="1728"/>
            <w:tcW w:w="1701" w:type="dxa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left"/>
            </w:pPr>
            <w:r/>
            <w:r>
              <w:rPr>
                <w:rFonts w:ascii="Calibri" w:hAnsi="Calibri"/>
                <w:b w:val="0"/>
                <w:color w:val="FFFFFF"/>
                <w:sz w:val="22"/>
              </w:rPr>
              <w:t>Valor da Meta</w:t>
            </w:r>
          </w:p>
        </w:tc>
        <w:tc>
          <w:tcPr>
            <w:tcW w:type="dxa" w:w="1728"/>
            <w:tcW w:w="1701" w:type="dxa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—</w:t>
            </w:r>
          </w:p>
        </w:tc>
        <w:tc>
          <w:tcPr>
            <w:tcW w:type="dxa" w:w="1728"/>
            <w:tcW w:w="1701" w:type="dxa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12%</w:t>
            </w:r>
          </w:p>
        </w:tc>
        <w:tc>
          <w:tcPr>
            <w:tcW w:type="dxa" w:w="1728"/>
            <w:tcW w:w="1701" w:type="dxa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12%</w:t>
            </w:r>
          </w:p>
        </w:tc>
        <w:tc>
          <w:tcPr>
            <w:tcW w:type="dxa" w:w="1728"/>
            <w:tcW w:w="1701" w:type="dxa"/>
            <w:shd w:fill="D0CEC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12%</w:t>
            </w:r>
          </w:p>
        </w:tc>
      </w:tr>
      <w:tr>
        <w:trPr>
          <w:trHeight w:val="340" w:hRule="atLeast"/>
        </w:trPr>
        <w:tc>
          <w:tcPr>
            <w:tcW w:type="dxa" w:w="1728"/>
            <w:tcW w:w="1701" w:type="dxa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Resultado</w:t>
            </w:r>
          </w:p>
        </w:tc>
        <w:tc>
          <w:tcPr>
            <w:tcW w:type="dxa" w:w="1728"/>
            <w:tcW w:w="1701" w:type="dxa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0%</w:t>
            </w:r>
          </w:p>
        </w:tc>
        <w:tc>
          <w:tcPr>
            <w:tcW w:type="dxa" w:w="1728"/>
            <w:tcW w:w="1701" w:type="dxa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-109.2%</w:t>
            </w:r>
          </w:p>
        </w:tc>
        <w:tc>
          <w:tcPr>
            <w:tcW w:type="dxa" w:w="1728"/>
            <w:tcW w:w="1701" w:type="dxa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10.2%</w:t>
            </w:r>
          </w:p>
        </w:tc>
        <w:tc>
          <w:tcPr>
            <w:tcW w:type="dxa" w:w="1728"/>
            <w:tcW w:w="1701" w:type="dxa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65.1%</w:t>
            </w:r>
          </w:p>
        </w:tc>
      </w:tr>
    </w:tbl>
    <w:p>
      <w:pPr>
        <w:spacing w:before="120" w:after="400"/>
        <w:ind w:left="0"/>
        <w:jc w:val="left"/>
      </w:pPr>
      <w:r>
        <w:rPr>
          <w:rFonts w:ascii="Calibri" w:hAnsi="Calibri"/>
          <w:b/>
          <w:color w:val="000000"/>
          <w:sz w:val="18"/>
        </w:rPr>
        <w:t xml:space="preserve">TJMG 10: Histórico de Valores. </w:t>
      </w:r>
      <w:r>
        <w:rPr>
          <w:rFonts w:ascii="Calibri" w:hAnsi="Calibri"/>
          <w:color w:val="000000"/>
          <w:sz w:val="18"/>
        </w:rPr>
        <w:t>Fonte: TJMG</w:t>
      </w:r>
    </w:p>
    <w:p/>
    <w:p>
      <w:r>
        <w:rPr>
          <w:b/>
          <w:sz w:val="24"/>
        </w:rPr>
        <w:t>2. TJMG 100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8505" w:type="dxa"/>
        <w:tblLayout w:type="fixed"/>
      </w:tblPr>
      <w:tblGrid>
        <w:gridCol w:w="1728"/>
        <w:gridCol w:w="1728"/>
        <w:gridCol w:w="1728"/>
        <w:gridCol w:w="1728"/>
        <w:gridCol w:w="1728"/>
      </w:tblGrid>
      <w:tr>
        <w:trPr>
          <w:trHeight w:val="340" w:hRule="atLeast"/>
        </w:trPr>
        <w:tc>
          <w:tcPr>
            <w:tcW w:type="dxa" w:w="1728"/>
            <w:tcW w:w="1701" w:type="dxa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left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Ano</w:t>
            </w:r>
          </w:p>
        </w:tc>
        <w:tc>
          <w:tcPr>
            <w:tcW w:type="dxa" w:w="1728"/>
            <w:tcW w:w="1701" w:type="dxa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2022</w:t>
            </w:r>
          </w:p>
        </w:tc>
        <w:tc>
          <w:tcPr>
            <w:tcW w:type="dxa" w:w="1728"/>
            <w:tcW w:w="1701" w:type="dxa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2023</w:t>
            </w:r>
          </w:p>
        </w:tc>
        <w:tc>
          <w:tcPr>
            <w:tcW w:type="dxa" w:w="1728"/>
            <w:tcW w:w="1701" w:type="dxa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2024</w:t>
            </w:r>
          </w:p>
        </w:tc>
        <w:tc>
          <w:tcPr>
            <w:tcW w:type="dxa" w:w="1728"/>
            <w:tcW w:w="1701" w:type="dxa"/>
            <w:shd w:fill="44546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2025</w:t>
            </w:r>
          </w:p>
        </w:tc>
      </w:tr>
      <w:tr>
        <w:trPr>
          <w:trHeight w:val="340" w:hRule="atLeast"/>
        </w:trPr>
        <w:tc>
          <w:tcPr>
            <w:tcW w:type="dxa" w:w="1728"/>
            <w:tcW w:w="1701" w:type="dxa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left"/>
            </w:pPr>
            <w:r/>
            <w:r>
              <w:rPr>
                <w:rFonts w:ascii="Calibri" w:hAnsi="Calibri"/>
                <w:b w:val="0"/>
                <w:color w:val="FFFFFF"/>
                <w:sz w:val="22"/>
              </w:rPr>
              <w:t>Valor da Meta</w:t>
            </w:r>
          </w:p>
        </w:tc>
        <w:tc>
          <w:tcPr>
            <w:tcW w:type="dxa" w:w="1728"/>
            <w:tcW w:w="1701" w:type="dxa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—</w:t>
            </w:r>
          </w:p>
        </w:tc>
        <w:tc>
          <w:tcPr>
            <w:tcW w:type="dxa" w:w="1728"/>
            <w:tcW w:w="1701" w:type="dxa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50%</w:t>
            </w:r>
          </w:p>
        </w:tc>
        <w:tc>
          <w:tcPr>
            <w:tcW w:type="dxa" w:w="1728"/>
            <w:tcW w:w="1701" w:type="dxa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50%</w:t>
            </w:r>
          </w:p>
        </w:tc>
        <w:tc>
          <w:tcPr>
            <w:tcW w:type="dxa" w:w="1728"/>
            <w:tcW w:w="1701" w:type="dxa"/>
            <w:shd w:fill="D0CEC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50%</w:t>
            </w:r>
          </w:p>
        </w:tc>
      </w:tr>
      <w:tr>
        <w:trPr>
          <w:trHeight w:val="340" w:hRule="atLeast"/>
        </w:trPr>
        <w:tc>
          <w:tcPr>
            <w:tcW w:type="dxa" w:w="1728"/>
            <w:tcW w:w="1701" w:type="dxa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Resultado</w:t>
            </w:r>
          </w:p>
        </w:tc>
        <w:tc>
          <w:tcPr>
            <w:tcW w:type="dxa" w:w="1728"/>
            <w:tcW w:w="1701" w:type="dxa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0%</w:t>
            </w:r>
          </w:p>
        </w:tc>
        <w:tc>
          <w:tcPr>
            <w:tcW w:type="dxa" w:w="1728"/>
            <w:tcW w:w="1701" w:type="dxa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55%</w:t>
            </w:r>
          </w:p>
        </w:tc>
        <w:tc>
          <w:tcPr>
            <w:tcW w:type="dxa" w:w="1728"/>
            <w:tcW w:w="1701" w:type="dxa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32%</w:t>
            </w:r>
          </w:p>
        </w:tc>
        <w:tc>
          <w:tcPr>
            <w:tcW w:type="dxa" w:w="1728"/>
            <w:tcW w:w="1701" w:type="dxa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97%</w:t>
            </w:r>
          </w:p>
        </w:tc>
      </w:tr>
    </w:tbl>
    <w:p>
      <w:pPr>
        <w:spacing w:before="120" w:after="400"/>
        <w:ind w:left="0"/>
        <w:jc w:val="left"/>
      </w:pPr>
      <w:r>
        <w:rPr>
          <w:rFonts w:ascii="Calibri" w:hAnsi="Calibri"/>
          <w:b/>
          <w:color w:val="000000"/>
          <w:sz w:val="18"/>
        </w:rPr>
        <w:t xml:space="preserve">TJMG 100: Histórico de Valores. </w:t>
      </w:r>
      <w:r>
        <w:rPr>
          <w:rFonts w:ascii="Calibri" w:hAnsi="Calibri"/>
          <w:color w:val="000000"/>
          <w:sz w:val="18"/>
        </w:rPr>
        <w:t>Fonte: TJMG</w:t>
      </w:r>
    </w:p>
    <w:p/>
    <w:p>
      <w:r>
        <w:rPr>
          <w:b/>
          <w:sz w:val="24"/>
        </w:rPr>
        <w:t>3. TJMG 104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8505" w:type="dxa"/>
        <w:tblLayout w:type="fixed"/>
      </w:tblPr>
      <w:tblGrid>
        <w:gridCol w:w="1728"/>
        <w:gridCol w:w="1728"/>
        <w:gridCol w:w="1728"/>
        <w:gridCol w:w="1728"/>
        <w:gridCol w:w="1728"/>
      </w:tblGrid>
      <w:tr>
        <w:trPr>
          <w:trHeight w:val="340" w:hRule="atLeast"/>
        </w:trPr>
        <w:tc>
          <w:tcPr>
            <w:tcW w:type="dxa" w:w="1728"/>
            <w:tcW w:w="1701" w:type="dxa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left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Ano</w:t>
            </w:r>
          </w:p>
        </w:tc>
        <w:tc>
          <w:tcPr>
            <w:tcW w:type="dxa" w:w="1728"/>
            <w:tcW w:w="1701" w:type="dxa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2022</w:t>
            </w:r>
          </w:p>
        </w:tc>
        <w:tc>
          <w:tcPr>
            <w:tcW w:type="dxa" w:w="1728"/>
            <w:tcW w:w="1701" w:type="dxa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2023</w:t>
            </w:r>
          </w:p>
        </w:tc>
        <w:tc>
          <w:tcPr>
            <w:tcW w:type="dxa" w:w="1728"/>
            <w:tcW w:w="1701" w:type="dxa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2024</w:t>
            </w:r>
          </w:p>
        </w:tc>
        <w:tc>
          <w:tcPr>
            <w:tcW w:type="dxa" w:w="1728"/>
            <w:tcW w:w="1701" w:type="dxa"/>
            <w:shd w:fill="44546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2025</w:t>
            </w:r>
          </w:p>
        </w:tc>
      </w:tr>
      <w:tr>
        <w:trPr>
          <w:trHeight w:val="340" w:hRule="atLeast"/>
        </w:trPr>
        <w:tc>
          <w:tcPr>
            <w:tcW w:type="dxa" w:w="1728"/>
            <w:tcW w:w="1701" w:type="dxa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left"/>
            </w:pPr>
            <w:r/>
            <w:r>
              <w:rPr>
                <w:rFonts w:ascii="Calibri" w:hAnsi="Calibri"/>
                <w:b w:val="0"/>
                <w:color w:val="FFFFFF"/>
                <w:sz w:val="22"/>
              </w:rPr>
              <w:t>Valor da Meta</w:t>
            </w:r>
          </w:p>
        </w:tc>
        <w:tc>
          <w:tcPr>
            <w:tcW w:type="dxa" w:w="1728"/>
            <w:tcW w:w="1701" w:type="dxa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—</w:t>
            </w:r>
          </w:p>
        </w:tc>
        <w:tc>
          <w:tcPr>
            <w:tcW w:type="dxa" w:w="1728"/>
            <w:tcW w:w="1701" w:type="dxa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  <w:tc>
          <w:tcPr>
            <w:tcW w:type="dxa" w:w="1728"/>
            <w:tcW w:w="1701" w:type="dxa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  <w:tc>
          <w:tcPr>
            <w:tcW w:type="dxa" w:w="1728"/>
            <w:tcW w:w="1701" w:type="dxa"/>
            <w:shd w:fill="D0CEC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100%</w:t>
            </w:r>
          </w:p>
        </w:tc>
      </w:tr>
      <w:tr>
        <w:trPr>
          <w:trHeight w:val="340" w:hRule="atLeast"/>
        </w:trPr>
        <w:tc>
          <w:tcPr>
            <w:tcW w:type="dxa" w:w="1728"/>
            <w:tcW w:w="1701" w:type="dxa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Resultado</w:t>
            </w:r>
          </w:p>
        </w:tc>
        <w:tc>
          <w:tcPr>
            <w:tcW w:type="dxa" w:w="1728"/>
            <w:tcW w:w="1701" w:type="dxa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0%</w:t>
            </w:r>
          </w:p>
        </w:tc>
        <w:tc>
          <w:tcPr>
            <w:tcW w:type="dxa" w:w="1728"/>
            <w:tcW w:w="1701" w:type="dxa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69.2%</w:t>
            </w:r>
          </w:p>
        </w:tc>
        <w:tc>
          <w:tcPr>
            <w:tcW w:type="dxa" w:w="1728"/>
            <w:tcW w:w="1701" w:type="dxa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70%</w:t>
            </w:r>
          </w:p>
        </w:tc>
        <w:tc>
          <w:tcPr>
            <w:tcW w:type="dxa" w:w="1728"/>
            <w:tcW w:w="1701" w:type="dxa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68%</w:t>
            </w:r>
          </w:p>
        </w:tc>
      </w:tr>
    </w:tbl>
    <w:p>
      <w:pPr>
        <w:spacing w:before="120" w:after="400"/>
        <w:ind w:left="0"/>
        <w:jc w:val="left"/>
      </w:pPr>
      <w:r>
        <w:rPr>
          <w:rFonts w:ascii="Calibri" w:hAnsi="Calibri"/>
          <w:b/>
          <w:color w:val="000000"/>
          <w:sz w:val="18"/>
        </w:rPr>
        <w:t xml:space="preserve">TJMG 104: Histórico de Valores. </w:t>
      </w:r>
      <w:r>
        <w:rPr>
          <w:rFonts w:ascii="Calibri" w:hAnsi="Calibri"/>
          <w:color w:val="000000"/>
          <w:sz w:val="18"/>
        </w:rPr>
        <w:t>Fonte: TJMG</w:t>
      </w:r>
    </w:p>
    <w:p/>
    <w:p>
      <w:r>
        <w:rPr>
          <w:b/>
          <w:sz w:val="24"/>
        </w:rPr>
        <w:t>4. TJMG 109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8505" w:type="dxa"/>
        <w:tblLayout w:type="fixed"/>
      </w:tblPr>
      <w:tblGrid>
        <w:gridCol w:w="1728"/>
        <w:gridCol w:w="1728"/>
        <w:gridCol w:w="1728"/>
        <w:gridCol w:w="1728"/>
        <w:gridCol w:w="1728"/>
      </w:tblGrid>
      <w:tr>
        <w:trPr>
          <w:trHeight w:val="340" w:hRule="atLeast"/>
        </w:trPr>
        <w:tc>
          <w:tcPr>
            <w:tcW w:type="dxa" w:w="1728"/>
            <w:tcW w:w="1701" w:type="dxa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left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Ano</w:t>
            </w:r>
          </w:p>
        </w:tc>
        <w:tc>
          <w:tcPr>
            <w:tcW w:type="dxa" w:w="1728"/>
            <w:tcW w:w="1701" w:type="dxa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2022</w:t>
            </w:r>
          </w:p>
        </w:tc>
        <w:tc>
          <w:tcPr>
            <w:tcW w:type="dxa" w:w="1728"/>
            <w:tcW w:w="1701" w:type="dxa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2023</w:t>
            </w:r>
          </w:p>
        </w:tc>
        <w:tc>
          <w:tcPr>
            <w:tcW w:type="dxa" w:w="1728"/>
            <w:tcW w:w="1701" w:type="dxa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2024</w:t>
            </w:r>
          </w:p>
        </w:tc>
        <w:tc>
          <w:tcPr>
            <w:tcW w:type="dxa" w:w="1728"/>
            <w:tcW w:w="1701" w:type="dxa"/>
            <w:shd w:fill="44546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2025</w:t>
            </w:r>
          </w:p>
        </w:tc>
      </w:tr>
      <w:tr>
        <w:trPr>
          <w:trHeight w:val="340" w:hRule="atLeast"/>
        </w:trPr>
        <w:tc>
          <w:tcPr>
            <w:tcW w:type="dxa" w:w="1728"/>
            <w:tcW w:w="1701" w:type="dxa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left"/>
            </w:pPr>
            <w:r/>
            <w:r>
              <w:rPr>
                <w:rFonts w:ascii="Calibri" w:hAnsi="Calibri"/>
                <w:b w:val="0"/>
                <w:color w:val="FFFFFF"/>
                <w:sz w:val="22"/>
              </w:rPr>
              <w:t>Valor da Meta</w:t>
            </w:r>
          </w:p>
        </w:tc>
        <w:tc>
          <w:tcPr>
            <w:tcW w:type="dxa" w:w="1728"/>
            <w:tcW w:w="1701" w:type="dxa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—</w:t>
            </w:r>
          </w:p>
        </w:tc>
        <w:tc>
          <w:tcPr>
            <w:tcW w:type="dxa" w:w="1728"/>
            <w:tcW w:w="1701" w:type="dxa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70%</w:t>
            </w:r>
          </w:p>
        </w:tc>
        <w:tc>
          <w:tcPr>
            <w:tcW w:type="dxa" w:w="1728"/>
            <w:tcW w:w="1701" w:type="dxa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70%</w:t>
            </w:r>
          </w:p>
        </w:tc>
        <w:tc>
          <w:tcPr>
            <w:tcW w:type="dxa" w:w="1728"/>
            <w:tcW w:w="1701" w:type="dxa"/>
            <w:shd w:fill="D0CEC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70%</w:t>
            </w:r>
          </w:p>
        </w:tc>
      </w:tr>
      <w:tr>
        <w:trPr>
          <w:trHeight w:val="340" w:hRule="atLeast"/>
        </w:trPr>
        <w:tc>
          <w:tcPr>
            <w:tcW w:type="dxa" w:w="1728"/>
            <w:tcW w:w="1701" w:type="dxa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Resultado</w:t>
            </w:r>
          </w:p>
        </w:tc>
        <w:tc>
          <w:tcPr>
            <w:tcW w:type="dxa" w:w="1728"/>
            <w:tcW w:w="1701" w:type="dxa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0%</w:t>
            </w:r>
          </w:p>
        </w:tc>
        <w:tc>
          <w:tcPr>
            <w:tcW w:type="dxa" w:w="1728"/>
            <w:tcW w:w="1701" w:type="dxa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0%</w:t>
            </w:r>
          </w:p>
        </w:tc>
        <w:tc>
          <w:tcPr>
            <w:tcW w:type="dxa" w:w="1728"/>
            <w:tcW w:w="1701" w:type="dxa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48.5%</w:t>
            </w:r>
          </w:p>
        </w:tc>
        <w:tc>
          <w:tcPr>
            <w:tcW w:type="dxa" w:w="1728"/>
            <w:tcW w:w="1701" w:type="dxa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42.4%</w:t>
            </w:r>
          </w:p>
        </w:tc>
      </w:tr>
    </w:tbl>
    <w:p>
      <w:pPr>
        <w:spacing w:before="120" w:after="400"/>
        <w:ind w:left="0"/>
        <w:jc w:val="left"/>
      </w:pPr>
      <w:r>
        <w:rPr>
          <w:rFonts w:ascii="Calibri" w:hAnsi="Calibri"/>
          <w:b/>
          <w:color w:val="000000"/>
          <w:sz w:val="18"/>
        </w:rPr>
        <w:t xml:space="preserve">TJMG 109: Histórico de Valores. </w:t>
      </w:r>
      <w:r>
        <w:rPr>
          <w:rFonts w:ascii="Calibri" w:hAnsi="Calibri"/>
          <w:color w:val="000000"/>
          <w:sz w:val="18"/>
        </w:rPr>
        <w:t>Fonte: TJMG</w:t>
      </w:r>
    </w:p>
    <w:p/>
    <w:p>
      <w:r>
        <w:rPr>
          <w:b/>
          <w:sz w:val="24"/>
        </w:rPr>
        <w:t>5. TJMG 111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8505" w:type="dxa"/>
        <w:tblLayout w:type="fixed"/>
      </w:tblPr>
      <w:tblGrid>
        <w:gridCol w:w="1728"/>
        <w:gridCol w:w="1728"/>
        <w:gridCol w:w="1728"/>
        <w:gridCol w:w="1728"/>
        <w:gridCol w:w="1728"/>
      </w:tblGrid>
      <w:tr>
        <w:trPr>
          <w:trHeight w:val="340" w:hRule="atLeast"/>
        </w:trPr>
        <w:tc>
          <w:tcPr>
            <w:tcW w:type="dxa" w:w="1728"/>
            <w:tcW w:w="1701" w:type="dxa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left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Ano</w:t>
            </w:r>
          </w:p>
        </w:tc>
        <w:tc>
          <w:tcPr>
            <w:tcW w:type="dxa" w:w="1728"/>
            <w:tcW w:w="1701" w:type="dxa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2022</w:t>
            </w:r>
          </w:p>
        </w:tc>
        <w:tc>
          <w:tcPr>
            <w:tcW w:type="dxa" w:w="1728"/>
            <w:tcW w:w="1701" w:type="dxa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2023</w:t>
            </w:r>
          </w:p>
        </w:tc>
        <w:tc>
          <w:tcPr>
            <w:tcW w:type="dxa" w:w="1728"/>
            <w:tcW w:w="1701" w:type="dxa"/>
            <w:shd w:fill="59595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2024</w:t>
            </w:r>
          </w:p>
        </w:tc>
        <w:tc>
          <w:tcPr>
            <w:tcW w:type="dxa" w:w="1728"/>
            <w:tcW w:w="1701" w:type="dxa"/>
            <w:shd w:fill="44546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2025</w:t>
            </w:r>
          </w:p>
        </w:tc>
      </w:tr>
      <w:tr>
        <w:trPr>
          <w:trHeight w:val="340" w:hRule="atLeast"/>
        </w:trPr>
        <w:tc>
          <w:tcPr>
            <w:tcW w:type="dxa" w:w="1728"/>
            <w:tcW w:w="1701" w:type="dxa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left"/>
            </w:pPr>
            <w:r/>
            <w:r>
              <w:rPr>
                <w:rFonts w:ascii="Calibri" w:hAnsi="Calibri"/>
                <w:b w:val="0"/>
                <w:color w:val="FFFFFF"/>
                <w:sz w:val="22"/>
              </w:rPr>
              <w:t>Valor da Meta</w:t>
            </w:r>
          </w:p>
        </w:tc>
        <w:tc>
          <w:tcPr>
            <w:tcW w:type="dxa" w:w="1728"/>
            <w:tcW w:w="1701" w:type="dxa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—</w:t>
            </w:r>
          </w:p>
        </w:tc>
        <w:tc>
          <w:tcPr>
            <w:tcW w:type="dxa" w:w="1728"/>
            <w:tcW w:w="1701" w:type="dxa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80%</w:t>
            </w:r>
          </w:p>
        </w:tc>
        <w:tc>
          <w:tcPr>
            <w:tcW w:type="dxa" w:w="1728"/>
            <w:tcW w:w="1701" w:type="dxa"/>
            <w:shd w:fill="A6A6A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80%</w:t>
            </w:r>
          </w:p>
        </w:tc>
        <w:tc>
          <w:tcPr>
            <w:tcW w:type="dxa" w:w="1728"/>
            <w:tcW w:w="1701" w:type="dxa"/>
            <w:shd w:fill="D0CEC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80%</w:t>
            </w:r>
          </w:p>
        </w:tc>
      </w:tr>
      <w:tr>
        <w:trPr>
          <w:trHeight w:val="340" w:hRule="atLeast"/>
        </w:trPr>
        <w:tc>
          <w:tcPr>
            <w:tcW w:type="dxa" w:w="1728"/>
            <w:tcW w:w="1701" w:type="dxa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Resultado</w:t>
            </w:r>
          </w:p>
        </w:tc>
        <w:tc>
          <w:tcPr>
            <w:tcW w:type="dxa" w:w="1728"/>
            <w:tcW w:w="1701" w:type="dxa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0%</w:t>
            </w:r>
          </w:p>
        </w:tc>
        <w:tc>
          <w:tcPr>
            <w:tcW w:type="dxa" w:w="1728"/>
            <w:tcW w:w="1701" w:type="dxa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0%</w:t>
            </w:r>
          </w:p>
        </w:tc>
        <w:tc>
          <w:tcPr>
            <w:tcW w:type="dxa" w:w="1728"/>
            <w:tcW w:w="1701" w:type="dxa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87.5%</w:t>
            </w:r>
          </w:p>
        </w:tc>
        <w:tc>
          <w:tcPr>
            <w:tcW w:type="dxa" w:w="1728"/>
            <w:tcW w:w="1701" w:type="dxa"/>
            <w:shd w:fill="E7E7E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before="40" w:after="40"/>
              <w:ind w:left="80" w:right="8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87%</w:t>
            </w:r>
          </w:p>
        </w:tc>
      </w:tr>
    </w:tbl>
    <w:p>
      <w:pPr>
        <w:spacing w:before="120" w:after="400"/>
        <w:ind w:left="0"/>
        <w:jc w:val="left"/>
      </w:pPr>
      <w:r>
        <w:rPr>
          <w:rFonts w:ascii="Calibri" w:hAnsi="Calibri"/>
          <w:b/>
          <w:color w:val="000000"/>
          <w:sz w:val="18"/>
        </w:rPr>
        <w:t xml:space="preserve">TJMG 111: Histórico de Valores. </w:t>
      </w:r>
      <w:r>
        <w:rPr>
          <w:rFonts w:ascii="Calibri" w:hAnsi="Calibri"/>
          <w:color w:val="000000"/>
          <w:sz w:val="18"/>
        </w:rPr>
        <w:t>Fonte: TJMG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