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Teste de Tabela com 4 Colunas</w:t>
      </w:r>
    </w:p>
    <w:p>
      <w:pPr>
        <w:spacing w:after="240"/>
        <w:jc w:val="center"/>
      </w:pPr>
      <w:r>
        <w:rPr>
          <w:rFonts w:ascii="Calibri" w:hAnsi="Calibri"/>
          <w:b/>
          <w:sz w:val="24"/>
        </w:rPr>
        <w:t>Crédito Autorizado x Despesa Realizada por Ação Orçamentária – 2025</w:t>
      </w:r>
    </w:p>
    <w:tbl>
      <w:tblPr>
        <w:tblW w:type="auto" w:w="0"/>
        <w:jc w:val="center"/>
        <w:tblLook w:firstColumn="1" w:firstRow="1" w:lastColumn="0" w:lastRow="0" w:noHBand="0" w:noVBand="1" w:val="04A0"/>
        <w:tblW w:w="9263" w:type="dxa"/>
      </w:tblPr>
      <w:tblGrid>
        <w:gridCol w:w="2160"/>
        <w:gridCol w:w="2160"/>
        <w:gridCol w:w="2160"/>
        <w:gridCol w:w="2160"/>
      </w:tblGrid>
      <w:tr>
        <w:trPr>
          <w:trHeight w:val="646" w:hRule="atLeast"/>
          <w:tblHeader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AÇÃO ORÇAMENTÁRIA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CRÉDITO AUTORIZADO 2025 (R$)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DESPESA REALIZADA 2025 (R$)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%</w:t>
            </w:r>
          </w:p>
        </w:tc>
      </w:tr>
      <w:tr>
        <w:trPr>
          <w:trHeight w:val="646" w:hRule="atLeast"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2053 - Remuneração de Magistrados da Ativa E Encargos Sociais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1.715.985.406,00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1.715.985.406,00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2054 - Remuneração de Servidores da Ativa e Encargos Sociais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6.275.094.319,00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6.275.003.585,00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7006 - Proventos de Inativos Civis e Pensionistas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3.119.181.127,00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2.954.301.230,00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95%</w:t>
            </w:r>
          </w:p>
        </w:tc>
      </w:tr>
      <w:tr>
        <w:trPr>
          <w:trHeight w:val="646" w:hRule="atLeast"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7004 - Precatórios e Sentenças Judiciárias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1.000,00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-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375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11.110.261.852,00</w:t>
            </w:r>
          </w:p>
        </w:tc>
        <w:tc>
          <w:tcPr>
            <w:tcW w:type="dxa" w:w="2160"/>
            <w:tcW w:w="23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10.945.290.221,00</w:t>
            </w:r>
          </w:p>
        </w:tc>
        <w:tc>
          <w:tcPr>
            <w:tcW w:type="dxa" w:w="2160"/>
            <w:tcW w:w="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99%</w:t>
            </w:r>
          </w:p>
        </w:tc>
      </w:tr>
    </w:tbl>
    <w:p>
      <w:pPr>
        <w:spacing w:before="120"/>
        <w:jc w:val="left"/>
      </w:pPr>
      <w:r>
        <w:rPr>
          <w:rFonts w:ascii="Calibri" w:hAnsi="Calibri"/>
          <w:sz w:val="16"/>
        </w:rPr>
        <w:t>Tabela 4B - Comparativo Anual. Fonte: LOA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