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Teste de Tabela com 4 Colunas</w:t>
      </w:r>
    </w:p>
    <w:p>
      <w:pPr>
        <w:spacing w:after="240"/>
        <w:jc w:val="center"/>
      </w:pPr>
      <w:r>
        <w:rPr>
          <w:rFonts w:ascii="Calibri" w:hAnsi="Calibri"/>
          <w:b/>
          <w:sz w:val="24"/>
        </w:rPr>
        <w:t>Crédito Autorizado x Despesa Realizada por Ação Orçamentária – 2025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10337" w:type="dxa"/>
        <w:tblLayout w:type="fixed"/>
        <w:tblInd w:w="-675" w:type="dxa"/>
      </w:tblPr>
      <w:tblGrid>
        <w:gridCol w:w="2160"/>
        <w:gridCol w:w="2160"/>
        <w:gridCol w:w="2160"/>
        <w:gridCol w:w="2160"/>
      </w:tblGrid>
      <w:tr>
        <w:trPr>
          <w:trHeight w:val="646" w:hRule="atLeast"/>
          <w:tblHeader/>
        </w:trPr>
        <w:tc>
          <w:tcPr>
            <w:tcW w:type="dxa" w:w="2160"/>
            <w:tcW w:w="418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7F7F7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AÇÃO ORÇAMENTÁRIA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7F7F7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CRÉDITO AUTORIZADO 2025 (R$)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7F7F7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DESPESA REALIZADA 2025 (R$)</w:t>
            </w:r>
          </w:p>
        </w:tc>
        <w:tc>
          <w:tcPr>
            <w:tcW w:type="dxa" w:w="2160"/>
            <w:tcW w:w="79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7F7F7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%</w:t>
            </w:r>
          </w:p>
        </w:tc>
      </w:tr>
      <w:tr>
        <w:trPr>
          <w:trHeight w:val="646" w:hRule="atLeast"/>
        </w:trPr>
        <w:tc>
          <w:tcPr>
            <w:tcW w:type="dxa" w:w="2160"/>
            <w:tcW w:w="418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ind w:left="120"/>
              <w:jc w:val="left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2053 - Remuneração de Magistrados da Ativa E Encargos Sociais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1.715.985.406,00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1.715.985.406,00</w:t>
            </w:r>
          </w:p>
        </w:tc>
        <w:tc>
          <w:tcPr>
            <w:tcW w:type="dxa" w:w="2160"/>
            <w:tcW w:w="79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100%</w:t>
            </w:r>
          </w:p>
        </w:tc>
      </w:tr>
      <w:tr>
        <w:trPr>
          <w:trHeight w:val="646" w:hRule="atLeast"/>
        </w:trPr>
        <w:tc>
          <w:tcPr>
            <w:tcW w:type="dxa" w:w="2160"/>
            <w:tcW w:w="418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ind w:left="120"/>
              <w:jc w:val="left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2054 - Remuneração de Servidores da Ativa e Encargos Sociais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6.275.094.319,00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6.275.003.585,00</w:t>
            </w:r>
          </w:p>
        </w:tc>
        <w:tc>
          <w:tcPr>
            <w:tcW w:type="dxa" w:w="2160"/>
            <w:tcW w:w="79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100%</w:t>
            </w:r>
          </w:p>
        </w:tc>
      </w:tr>
      <w:tr>
        <w:trPr>
          <w:trHeight w:val="646" w:hRule="atLeast"/>
        </w:trPr>
        <w:tc>
          <w:tcPr>
            <w:tcW w:type="dxa" w:w="2160"/>
            <w:tcW w:w="418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ind w:left="120"/>
              <w:jc w:val="left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7006 - Proventos de Inativos Civis e Pensionistas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3.119.181.127,00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2.954.301.230,00</w:t>
            </w:r>
          </w:p>
        </w:tc>
        <w:tc>
          <w:tcPr>
            <w:tcW w:type="dxa" w:w="2160"/>
            <w:tcW w:w="79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95%</w:t>
            </w:r>
          </w:p>
        </w:tc>
      </w:tr>
      <w:tr>
        <w:trPr>
          <w:trHeight w:val="646" w:hRule="atLeast"/>
        </w:trPr>
        <w:tc>
          <w:tcPr>
            <w:tcW w:type="dxa" w:w="2160"/>
            <w:tcW w:w="418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ind w:left="120"/>
              <w:jc w:val="left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7004 - Precatórios e Sentenças Judiciárias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1.000,00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160"/>
            <w:tcW w:w="79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4"/>
              </w:rPr>
              <w:t>0%</w:t>
            </w:r>
          </w:p>
        </w:tc>
      </w:tr>
      <w:tr>
        <w:trPr>
          <w:trHeight w:val="646" w:hRule="atLeast"/>
        </w:trPr>
        <w:tc>
          <w:tcPr>
            <w:tcW w:type="dxa" w:w="2160"/>
            <w:tcW w:w="4184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BFBFBF"/>
            <w:vAlign w:val="center"/>
          </w:tcPr>
          <w:p>
            <w:pPr>
              <w:spacing w:before="0" w:after="0" w:line="276" w:lineRule="auto"/>
              <w:ind w:left="12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TOTAL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BFBFB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11.110.261.852,00</w:t>
            </w:r>
          </w:p>
        </w:tc>
        <w:tc>
          <w:tcPr>
            <w:tcW w:type="dxa" w:w="2160"/>
            <w:tcW w:w="268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BFBFB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10.945.290.221,00</w:t>
            </w:r>
          </w:p>
        </w:tc>
        <w:tc>
          <w:tcPr>
            <w:tcW w:type="dxa" w:w="2160"/>
            <w:tcW w:w="793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BFBFBF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color w:val="000000"/>
                <w:sz w:val="24"/>
              </w:rPr>
              <w:t>99%</w:t>
            </w:r>
          </w:p>
        </w:tc>
      </w:tr>
    </w:tbl>
    <w:p>
      <w:pPr>
        <w:spacing w:before="120"/>
        <w:jc w:val="left"/>
      </w:pPr>
      <w:r>
        <w:rPr>
          <w:rFonts w:ascii="Calibri" w:hAnsi="Calibri"/>
          <w:sz w:val="16"/>
        </w:rPr>
        <w:t>Tabela 4B - Comparativo Anual. Fonte: LOA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