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estructura-escolar"/>
    <w:p>
      <w:pPr>
        <w:pStyle w:val="Heading1"/>
      </w:pPr>
      <w:r>
        <w:t xml:space="preserve">Historias de Usuario — Estructura Escolar</w:t>
      </w:r>
    </w:p>
    <w:p>
      <w:pPr>
        <w:pStyle w:val="FirstParagraph"/>
      </w:pPr>
      <w:r>
        <w:t xml:space="preserve">Este documento contiene las historias de usuario implementadas para el módulo de Estructura Escolar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hu-est-001-crear-tipo-de-grado"/>
    <w:p>
      <w:pPr>
        <w:pStyle w:val="Heading1"/>
      </w:pPr>
      <w:r>
        <w:t xml:space="preserve">HU-EST-001: Crear Tipo de Grado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 nuevo tipo de grado (ej. PRIMERO, SEGUNDO) asignándole su nivel escolar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ampliar la oferta escolar de grados de mi institución.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directivo debe seleccionar el nivel escolar (PREESCOLAR, PRIMARIA, SECUNDARIA, MEDIA) y el nombre del grado.</w:t>
      </w:r>
    </w:p>
    <w:p>
      <w:pPr>
        <w:pStyle w:val="Compact"/>
        <w:numPr>
          <w:ilvl w:val="0"/>
          <w:numId w:val="1001"/>
        </w:numPr>
      </w:pPr>
      <w:r>
        <w:t xml:space="preserve">El nombre del grado no debe existir previamente en el mismo colegio para evitar duplicidades.</w:t>
      </w:r>
    </w:p>
    <w:p>
      <w:pPr>
        <w:pStyle w:val="Compact"/>
        <w:numPr>
          <w:ilvl w:val="0"/>
          <w:numId w:val="1001"/>
        </w:numPr>
      </w:pPr>
      <w:r>
        <w:t xml:space="preserve">Al registrar el tipo de grado, este queda habilitado para la posterior creación de grupos y cursos específicos.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/api/academic-admin/grade-types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createGradeType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hu-est-002-crear-grupo-escolar-curso"/>
    <w:p>
      <w:pPr>
        <w:pStyle w:val="Heading1"/>
      </w:pPr>
      <w:r>
        <w:t xml:space="preserve">HU-EST-002: Crear Grupo Escolar (Curso)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crear un nuevo grupo (ej. Primero A, Primero B) asociándolo a un tipo de grado y un año lectivo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la lista física de salones y cupos donde se matricularán los alumnos.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debe especificar el nombre, tipo de grado y los cupos máximos del grupo.</w:t>
      </w:r>
    </w:p>
    <w:p>
      <w:pPr>
        <w:pStyle w:val="Compact"/>
        <w:numPr>
          <w:ilvl w:val="0"/>
          <w:numId w:val="1006"/>
        </w:numPr>
      </w:pPr>
      <w:r>
        <w:t xml:space="preserve">El grupo se asocia de forma mandatoria al año lectivo en curso y al colegio del directivo.</w:t>
      </w:r>
    </w:p>
    <w:p>
      <w:pPr>
        <w:pStyle w:val="Compact"/>
        <w:numPr>
          <w:ilvl w:val="0"/>
          <w:numId w:val="1006"/>
        </w:numPr>
      </w:pPr>
      <w:r>
        <w:t xml:space="preserve">Los cupos asignados deben ser un número entero mayor que cero.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RN-EST-001, RN-EST-003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/api/academic-admin/groups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createGroup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hu-est-003-modificar-cupos-de-un-grupo"/>
    <w:p>
      <w:pPr>
        <w:pStyle w:val="Heading1"/>
      </w:pPr>
      <w:r>
        <w:t xml:space="preserve">HU-EST-003: Modificar Cupos de un Grupo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ampliar o reducir la cantidad de cupos totales de un grupo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controlar el ingreso y límite de estudiantes en un aula en base a la capacidad del salón.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ingresa el nuevo número de cupos.</w:t>
      </w:r>
    </w:p>
    <w:p>
      <w:pPr>
        <w:pStyle w:val="Compact"/>
        <w:numPr>
          <w:ilvl w:val="0"/>
          <w:numId w:val="1011"/>
        </w:numPr>
      </w:pPr>
      <w:r>
        <w:t xml:space="preserve">El sistema no debe permitir reducir los cupos por debajo del número de estudiantes matriculados activos en dicho grupo.</w:t>
      </w:r>
    </w:p>
    <w:p>
      <w:pPr>
        <w:pStyle w:val="Compact"/>
        <w:numPr>
          <w:ilvl w:val="0"/>
          <w:numId w:val="1011"/>
        </w:numPr>
      </w:pPr>
      <w:r>
        <w:t xml:space="preserve">Al guardar, el cambio se actualiza inmediatamente en el grupo.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/api/academic-admin/groups/:id/cupos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updateGroupCupos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u-est-004-renombrar-grupos-en-bloque"/>
    <w:p>
      <w:pPr>
        <w:pStyle w:val="Heading1"/>
      </w:pPr>
      <w:r>
        <w:t xml:space="preserve">HU-EST-004: Renombrar Grupos en Bloque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la nomenclatura de todos los grupos pertenecientes a un tipo de grado en un solo paso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unificar la nomenclatura del colegio de forma ágil ante reformas organizacionales.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selecciona el tipo de grado y digita el nuevo prefijo de nombre.</w:t>
      </w:r>
    </w:p>
    <w:p>
      <w:pPr>
        <w:pStyle w:val="Compact"/>
        <w:numPr>
          <w:ilvl w:val="0"/>
          <w:numId w:val="1016"/>
        </w:numPr>
      </w:pPr>
      <w:r>
        <w:t xml:space="preserve">El sistema despliega un listado previo de cómo quedarán estructurados los nuevos nombres de grupos (ej.</w:t>
      </w:r>
      <w:r>
        <w:t xml:space="preserve"> </w:t>
      </w:r>
      <w:r>
        <w:t xml:space="preserve">“1-A”</w:t>
      </w:r>
      <w:r>
        <w:t xml:space="preserve">,</w:t>
      </w:r>
      <w:r>
        <w:t xml:space="preserve"> </w:t>
      </w:r>
      <w:r>
        <w:t xml:space="preserve">“1-B”</w:t>
      </w:r>
      <w:r>
        <w:t xml:space="preserve">) antes de confirmar la acción.</w:t>
      </w:r>
    </w:p>
    <w:p>
      <w:pPr>
        <w:pStyle w:val="Compact"/>
        <w:numPr>
          <w:ilvl w:val="0"/>
          <w:numId w:val="1016"/>
        </w:numPr>
      </w:pPr>
      <w:r>
        <w:t xml:space="preserve">Al confirmar, se realiza un renombrado masivo en la base de datos de todos los grupos bajo el mismo tipo de grado.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Baja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/api/academic-admin/grade-types/:id/bulk-rename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bulkRenameCourses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77fbecdab362a0234ac71a73858a01c76a83fed"/>
    <w:p>
      <w:pPr>
        <w:pStyle w:val="Heading1"/>
      </w:pPr>
      <w:r>
        <w:t xml:space="preserve">HU-EST-005: Registrar Materia en Catálogo Escolar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una materia (nombre) en la base de datos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incorporarla al catálogo de asignaturas disponibles de mi colegio.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debe ingresar un nombre descriptivo de la materia.</w:t>
      </w:r>
    </w:p>
    <w:p>
      <w:pPr>
        <w:pStyle w:val="Compact"/>
        <w:numPr>
          <w:ilvl w:val="0"/>
          <w:numId w:val="1021"/>
        </w:numPr>
      </w:pPr>
      <w:r>
        <w:t xml:space="preserve">La materia no debe estar registrada con el mismo nombre y en estado activo en el colegio.</w:t>
      </w:r>
    </w:p>
    <w:p>
      <w:pPr>
        <w:pStyle w:val="Compact"/>
        <w:numPr>
          <w:ilvl w:val="0"/>
          <w:numId w:val="1021"/>
        </w:numPr>
      </w:pPr>
      <w:r>
        <w:t xml:space="preserve">Se crea en la tabla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 </w:t>
      </w:r>
      <w:r>
        <w:t xml:space="preserve">asociada al colegio.</w:t>
      </w:r>
    </w:p>
    <w:bookmarkEnd w:id="29"/>
    <w:bookmarkStart w:id="31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/api/academic-admin/subjects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0">
        <w:r>
          <w:rPr>
            <w:rStyle w:val="Hyperlink"/>
          </w:rPr>
          <w:t xml:space="preserve">SubjectManagement.vue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createSubject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hu-est-006-eliminar-materia-soft-delete"/>
    <w:p>
      <w:pPr>
        <w:pStyle w:val="Heading1"/>
      </w:pPr>
      <w:r>
        <w:t xml:space="preserve">HU-EST-006: Eliminar Materia (Soft Delete)</w:t>
      </w:r>
    </w:p>
    <w:bookmarkStart w:id="33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dar de baja una materia de la oferta escolar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retirarla del catálogo sin perder el historial y las notas registradas en los años anteriores.</w:t>
      </w:r>
    </w:p>
    <w:bookmarkEnd w:id="33"/>
    <w:bookmarkStart w:id="3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Al presionar eliminar, la materia no se borra físicamente de la base de datos (se aplica una marca de borrado lógico</w:t>
      </w:r>
      <w:r>
        <w:t xml:space="preserve"> </w:t>
      </w:r>
      <w:r>
        <w:rPr>
          <w:rStyle w:val="VerbatimChar"/>
        </w:rPr>
        <w:t xml:space="preserve">eliminada = true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La materia se oculta de las vistas de asignación de cursos del año escolar activo.</w:t>
      </w:r>
    </w:p>
    <w:p>
      <w:pPr>
        <w:pStyle w:val="Compact"/>
        <w:numPr>
          <w:ilvl w:val="0"/>
          <w:numId w:val="1026"/>
        </w:numPr>
      </w:pPr>
      <w:r>
        <w:t xml:space="preserve">La materia puede ser consultada o restaurada desde la vista de la papelera institucional de materias.</w:t>
      </w:r>
    </w:p>
    <w:bookmarkEnd w:id="34"/>
    <w:bookmarkStart w:id="35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DELETE /api/academic-admin/subjects/:id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0">
        <w:r>
          <w:rPr>
            <w:rStyle w:val="Hyperlink"/>
          </w:rPr>
          <w:t xml:space="preserve">SubjectManagement.vue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deleteSubject</w:t>
      </w:r>
      <w:r>
        <w:t xml:space="preserve">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2" Target="file:///c:/Users/alejo/Downloads/segundoProyecto/frontend/src/views/admin/GradeManagement.vue" TargetMode="External" /><Relationship Type="http://schemas.openxmlformats.org/officeDocument/2006/relationships/hyperlink" Id="rId30" Target="file:///c:/Users/alejo/Downloads/segundoProyecto/frontend/src/views/admin/Subject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2" Target="file:///c:/Users/alejo/Downloads/segundoProyecto/frontend/src/views/admin/GradeManagement.vue" TargetMode="External" /><Relationship Type="http://schemas.openxmlformats.org/officeDocument/2006/relationships/hyperlink" Id="rId30" Target="file:///c:/Users/alejo/Downloads/segundoProyecto/frontend/src/views/admin/Subject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2026-08-17T21:42:33Z</dcterms:created>
  <dcterms:modified xsi:type="dcterms:W3CDTF">2026-08-17T21:42:33Z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