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c1cf0f8c8cda8d1e40c825ca2c34f35ebfaf8f"/>
    <w:p>
      <w:pPr>
        <w:pStyle w:val="Heading1"/>
      </w:pPr>
      <w:r>
        <w:t xml:space="preserve">📧 Módulo de Flujo de Correos Electrónicos, Notificaciones y Verificaciones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21. Flujo de Correos Electrónicos, Recuperación y Verificación OTP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2026-08-13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centraliza todos los procesos relacionados con el envío de correos electrónicos transaccionales, códigos de verificación OTP (One-Time Password) de un solo uso, recuperación de contraseñas, validación de existencia de emails en matrículas y notificaciones académicas/administrativas.</w:t>
      </w:r>
    </w:p>
    <w:p>
      <w:pPr>
        <w:pStyle w:val="BodyText"/>
      </w:pPr>
      <w:r>
        <w:t xml:space="preserve">Proporciona una capa de seguridad y confiabilidad que garantiza: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Verificación Previa a Matrícula</w:t>
      </w:r>
      <w:r>
        <w:t xml:space="preserve">: Valida la existencia y posesión real del correo del acudiente mediante un código OTP de 6 dígitos antes de procesar una nueva inscripción.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Actualización Segura de Perfil</w:t>
      </w:r>
      <w:r>
        <w:t xml:space="preserve">: Exige validar mediante OTP cualquier solicitud de cambio de correo electrónico institucional o personal.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Recuperación de Contraseñas</w:t>
      </w:r>
      <w:r>
        <w:t xml:space="preserve">: Generación y entrega de tokens temporales de restablecimiento protegidos con caducidad.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Notificaciones Transaccionales</w:t>
      </w:r>
      <w:r>
        <w:t xml:space="preserve">: Envío automatizado de credenciales de acceso, cambios de estado de matrícula, avisos de boletines y alertas de soporte.</w:t>
      </w:r>
    </w:p>
    <w:p>
      <w:r>
        <w:pict>
          <v:rect style="width:0;height:1.5pt" o:hralign="center" o:hrstd="t" o:hr="t"/>
        </w:pict>
      </w:r>
    </w:p>
    <w:bookmarkEnd w:id="9"/>
    <w:bookmarkStart w:id="13" w:name="arquitectura-y-componentes-técnicos"/>
    <w:p>
      <w:pPr>
        <w:pStyle w:val="Heading2"/>
      </w:pPr>
      <w:r>
        <w:t xml:space="preserve">2. Arquitectura y Componentes Técnicos</w:t>
      </w:r>
    </w:p>
    <w:p>
      <w:pPr>
        <w:pStyle w:val="CaptionedFigure"/>
      </w:pPr>
      <w:r>
        <w:drawing>
          <wp:inline>
            <wp:extent cx="5334000" cy="4233216"/>
            <wp:effectExtent b="0" l="0" r="0" t="0"/>
            <wp:docPr descr="Diagrama" title="" id="11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b5a3417fe5fb63cbe36f6c414b5bbee306fd3591c4a30c82d551eecfd4da4089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13"/>
    <w:bookmarkStart w:id="15" w:name="modelo-de-datos-centralizado"/>
    <w:p>
      <w:pPr>
        <w:pStyle w:val="Heading2"/>
      </w:pPr>
      <w:r>
        <w:t xml:space="preserve">3. Modelo de Datos Centralizado</w:t>
      </w:r>
    </w:p>
    <w:bookmarkStart w:id="14" w:name="tabla-public.codigo_verificacion_email"/>
    <w:p>
      <w:pPr>
        <w:pStyle w:val="Heading3"/>
      </w:pPr>
      <w:r>
        <w:t xml:space="preserve">3.1 Tabla</w:t>
      </w:r>
      <w:r>
        <w:t xml:space="preserve"> </w:t>
      </w:r>
      <w:r>
        <w:rPr>
          <w:rStyle w:val="VerbatimChar"/>
        </w:rPr>
        <w:t xml:space="preserve">public.codigo_verificacion_email</w:t>
      </w:r>
    </w:p>
    <w:p>
      <w:pPr>
        <w:pStyle w:val="FirstParagraph"/>
      </w:pPr>
      <w:r>
        <w:t xml:space="preserve">Reemplaza tablas fragmentadas previas en una estructura unificada y de alto rendimiento: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id_verificacion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Identificador autoincremental del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Correo electrónico destinatario en minúsculas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Código numérico de 6 dígitos (100000 - 999999)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tipo_verificacion_email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Tipo ENUM (</w:t>
            </w:r>
            <w:r>
              <w:rPr>
                <w:rStyle w:val="VerbatimChar"/>
              </w:rPr>
              <w:t xml:space="preserve">MATRICULA_NUEVA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CAMBIO_CORREO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RECUPERACION_PASSWORD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 REFERENCES usuario(id_usuario) ON DELETE CASCADE</w:t>
            </w:r>
          </w:p>
        </w:tc>
        <w:tc>
          <w:tcPr/>
          <w:p>
            <w:pPr>
              <w:pStyle w:val="Compact"/>
            </w:pPr>
            <w:r>
              <w:t xml:space="preserve">ID del usuario autenticado (si aplica)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Fecha/hora límite de validez (15 minutos)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 FALSE NOT NULL</w:t>
            </w:r>
          </w:p>
        </w:tc>
        <w:tc>
          <w:tcPr/>
          <w:p>
            <w:pPr>
              <w:pStyle w:val="Compact"/>
            </w:pPr>
            <w:r>
              <w:t xml:space="preserve">Indicador de si el código ya fue validado con éxito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Fecha de emisión del código</w:t>
            </w:r>
          </w:p>
        </w:tc>
      </w:tr>
    </w:tbl>
    <w:p>
      <w:pPr>
        <w:pStyle w:val="BodyText"/>
      </w:pPr>
      <w:r>
        <w:rPr>
          <w:b/>
          <w:bCs/>
        </w:rPr>
        <w:t xml:space="preserve">Índice de Rendimiento: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idx_codigo_verificacion_email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.codigo_verificacion_email (email, codigo, tipo);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ndpoints-y-operaciones"/>
    <w:p>
      <w:pPr>
        <w:pStyle w:val="Heading2"/>
      </w:pPr>
      <w:r>
        <w:t xml:space="preserve">4. Endpoints y Operaciones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Enviar OTP de matrícula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/api/matriculas/send-email-code</w:t>
            </w:r>
          </w:p>
        </w:tc>
        <w:tc>
          <w:tcPr/>
          <w:p>
            <w:pPr>
              <w:pStyle w:val="Compact"/>
            </w:pPr>
            <w:r>
              <w:t xml:space="preserve">Pública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Validar OTP de matrícula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/api/matriculas/verify-email-code</w:t>
            </w:r>
          </w:p>
        </w:tc>
        <w:tc>
          <w:tcPr/>
          <w:p>
            <w:pPr>
              <w:pStyle w:val="Compact"/>
            </w:pPr>
            <w:r>
              <w:t xml:space="preserve">Pública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Solicitar OTP cambio de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/api/auth/profile/request-email-change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Cualquier Rol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Confirmar OTP cambio de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/api/auth/profile/verify-email-change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Cualquier Rol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Solicitar reset de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</w:pPr>
            <w:r>
              <w:t xml:space="preserve">Pública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Restablecer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</w:pPr>
            <w:r>
              <w:t xml:space="preserve">Pública (token)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1" w:name="implementación-de-servicios"/>
    <w:p>
      <w:pPr>
        <w:pStyle w:val="Heading2"/>
      </w:pPr>
      <w:r>
        <w:t xml:space="preserve">5. Implementación de Servicios</w:t>
      </w:r>
    </w:p>
    <w:bookmarkStart w:id="18" w:name="Xe6d7e8d6ff3a6f76e83f7326ebcfa6a2b8077a1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EmailVerificationService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emailVerificationService.ts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sendCode(params)</w:t>
      </w:r>
      <w:r>
        <w:t xml:space="preserve">: Genera el número criptográficamente adecuado de 6 dígitos, establece la caducidad a 15 minutos, inserta el registro usando Kysely y despacha el correo mediante</w:t>
      </w:r>
      <w:r>
        <w:t xml:space="preserve"> </w:t>
      </w:r>
      <w:r>
        <w:rPr>
          <w:rStyle w:val="VerbatimChar"/>
        </w:rPr>
        <w:t xml:space="preserve">NotificationService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verifyCode(params)</w:t>
      </w:r>
      <w:r>
        <w:t xml:space="preserve">: Busca un registro con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 = false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expires_at &gt; now()</w:t>
      </w:r>
      <w:r>
        <w:t xml:space="preserve">. Si es válido, marca</w:t>
      </w:r>
      <w:r>
        <w:t xml:space="preserve"> </w:t>
      </w:r>
      <w:r>
        <w:rPr>
          <w:rStyle w:val="VerbatimChar"/>
        </w:rPr>
        <w:t xml:space="preserve">verified = true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isVerified(params)</w:t>
      </w:r>
      <w:r>
        <w:t xml:space="preserve">: Verifica si existe una validación previa no expirada (por defecto dentro de las últimas 2 horas) antes de ejecutar la acción crítica.</w:t>
      </w:r>
    </w:p>
    <w:bookmarkEnd w:id="18"/>
    <w:bookmarkStart w:id="20" w:name="Xfe8515a23ef1c7db8cf519de328db636a872a63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NotificationService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notificationService.ts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Transportador SMTP configurado vía</w:t>
      </w:r>
      <w:r>
        <w:t xml:space="preserve"> </w:t>
      </w:r>
      <w:r>
        <w:rPr>
          <w:rStyle w:val="VerbatimChar"/>
        </w:rPr>
        <w:t xml:space="preserve">nodemailer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Plantillas HTML estilizadas con diseño institucional para: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sendEnrollmentEmailVerificationCode(email, code)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sendEmailChangeVerificationCode(email, code, userName)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sendPasswordResetEmail(email, token, userName)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sendUserCredentials(email, password, role, name)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sendEnrollmentNotification(email, status, details)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7" Target="file:///c:/Users/alejo/Downloads/segundoProyecto/backend/src/services/emailVerificationService.ts" TargetMode="External" /><Relationship Type="http://schemas.openxmlformats.org/officeDocument/2006/relationships/hyperlink" Id="rId19" Target="file:///c:/Users/alejo/Downloads/segundoProyecto/backend/src/services/notificationService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:///c:/Users/alejo/Downloads/segundoProyecto/backend/src/services/emailVerificationService.ts" TargetMode="External" /><Relationship Type="http://schemas.openxmlformats.org/officeDocument/2006/relationships/hyperlink" Id="rId19" Target="file:///c:/Users/alejo/Downloads/segundoProyecto/backend/src/services/notificationService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2026-08-17T21:43:04Z</dcterms:created>
  <dcterms:modified xsi:type="dcterms:W3CDTF">2026-08-17T21:43:04Z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