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f3f9bcd840c8477802db3e19f42d22eaf025fc"/>
    <w:p>
      <w:pPr>
        <w:pStyle w:val="Heading1"/>
      </w:pPr>
      <w:r>
        <w:t xml:space="preserve">Reglas de Negocio — Supervisión y Auditoría</w:t>
      </w:r>
    </w:p>
    <w:p>
      <w:pPr>
        <w:pStyle w:val="FirstParagraph"/>
      </w:pPr>
      <w:r>
        <w:t xml:space="preserve">Este documento detalla las reglas de negocio técnicas y funcionales del módulo de Supervisión y Auditoría de AcademiaNeiva.</w:t>
      </w:r>
    </w:p>
    <w:p>
      <w:r>
        <w:pict>
          <v:rect style="width:0;height:1.5pt" o:hralign="center" o:hrstd="t" o:hr="t"/>
        </w:pict>
      </w:r>
    </w:p>
    <w:bookmarkStart w:id="15" w:name="flujo-de-aprobación-y-control-de-acceso"/>
    <w:p>
      <w:pPr>
        <w:pStyle w:val="Heading2"/>
      </w:pPr>
      <w:r>
        <w:t xml:space="preserve">Flujo de Aprobación y Control de Acceso</w:t>
      </w:r>
    </w:p>
    <w:bookmarkStart w:id="10" w:name="X0a773f3bfbf1799e405a32b2fe2c3911f4c34d4"/>
    <w:p>
      <w:pPr>
        <w:pStyle w:val="Heading3"/>
      </w:pPr>
      <w:r>
        <w:t xml:space="preserve">RN-SUP-001: Flujo de Aprobación con Re-Autenticación Obligatoria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Administrador General no puede acceder de manera directa a los datos de una institución. Toda sesión de supervisión exige una solicitud explícita previa en estado</w:t>
      </w:r>
      <w:r>
        <w:t xml:space="preserve"> </w:t>
      </w:r>
      <w:r>
        <w:rPr>
          <w:rStyle w:val="VerbatimChar"/>
        </w:rPr>
        <w:t xml:space="preserve">SOLICITADA</w:t>
      </w:r>
      <w:r>
        <w:t xml:space="preserve"> </w:t>
      </w:r>
      <w:r>
        <w:t xml:space="preserve">y la aprobación del Rector o Coordinador del plantel mediante la re-autenticación con su contraseña de usuario en vivo.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la supervisión externa respete la autonomía del colegio y evita accesos no autorizados mediante la firma explícita de rectoría.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solicitarSupervision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aprobarSupervision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/api/admin/supervision/solicitar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/api/admin/supervision/:id/aprobar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HU-SUP-001, HU-SUP-002</w:t>
      </w:r>
    </w:p>
    <w:p>
      <w:r>
        <w:pict>
          <v:rect style="width:0;height:1.5pt" o:hralign="center" o:hrstd="t" o:hr="t"/>
        </w:pict>
      </w:r>
    </w:p>
    <w:bookmarkEnd w:id="10"/>
    <w:bookmarkStart w:id="12" w:name="Xb49c4ac39b79c3f55425e3264e3fbfbed0e9771"/>
    <w:p>
      <w:pPr>
        <w:pStyle w:val="Heading3"/>
      </w:pPr>
      <w:r>
        <w:t xml:space="preserve">RN-SUP-002: Modos de Permiso (</w:t>
      </w:r>
      <w:r>
        <w:rPr>
          <w:rStyle w:val="VerbatimChar"/>
        </w:rPr>
        <w:t xml:space="preserve">SOLO_LECTURA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privilegios del Administrador General durante la sesión están estrictamente regulados según el modo aprobado: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SOLO_LECTURA</w:t>
      </w:r>
      <w:r>
        <w:t xml:space="preserve">: El 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bloquea cualquier petición de tipo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respondiendo con error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EDITOR</w:t>
      </w:r>
      <w:r>
        <w:t xml:space="preserve">: Permite la modificación de registros pero exige de forma obligatoria adjuntar el parámetro</w:t>
      </w:r>
      <w:r>
        <w:t xml:space="preserve"> </w:t>
      </w:r>
      <w:r>
        <w:rPr>
          <w:rStyle w:val="VerbatimChar"/>
        </w:rPr>
        <w:t xml:space="preserve">motivo_cambio</w:t>
      </w:r>
      <w:r>
        <w:t xml:space="preserve"> </w:t>
      </w:r>
      <w:r>
        <w:t xml:space="preserve">en el cuerpo de cada petición de escritura.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Delimita el impacto del Administrador General según la naturaleza técnica de la inspección.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 (Todos los módulos).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11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(Lógica de verificación de modo de supervisión en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protegidos.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HU-SUP-003</w:t>
      </w:r>
    </w:p>
    <w:p>
      <w:r>
        <w:pict>
          <v:rect style="width:0;height:1.5pt" o:hralign="center" o:hrstd="t" o:hr="t"/>
        </w:pict>
      </w:r>
    </w:p>
    <w:bookmarkEnd w:id="12"/>
    <w:bookmarkStart w:id="14" w:name="X3dc1e13259cd29d927389ebc250eef37cdb6387"/>
    <w:p>
      <w:pPr>
        <w:pStyle w:val="Heading3"/>
      </w:pPr>
      <w:r>
        <w:t xml:space="preserve">RN-SUP-003: Expiración Automática de Sesión y Revocación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Cada supervisión posee una marca</w:t>
      </w:r>
      <w:r>
        <w:t xml:space="preserve"> </w:t>
      </w:r>
      <w:r>
        <w:rPr>
          <w:rStyle w:val="VerbatimChar"/>
        </w:rPr>
        <w:t xml:space="preserve">duracion_maxima_minutos</w:t>
      </w:r>
      <w:r>
        <w:t xml:space="preserve">. El planificador en segundo plano (</w:t>
      </w:r>
      <w:r>
        <w:rPr>
          <w:rStyle w:val="VerbatimChar"/>
        </w:rPr>
        <w:t xml:space="preserve">schedulerService.ts</w:t>
      </w:r>
      <w:r>
        <w:t xml:space="preserve">) y el middleware verifican la validez temporal. Al superarse la duración:</w:t>
      </w:r>
    </w:p>
    <w:p>
      <w:pPr>
        <w:pStyle w:val="Compact"/>
        <w:numPr>
          <w:ilvl w:val="1"/>
          <w:numId w:val="1008"/>
        </w:numPr>
      </w:pPr>
      <w:r>
        <w:t xml:space="preserve">El estado de la sesión transiciona a</w:t>
      </w:r>
      <w:r>
        <w:t xml:space="preserve"> </w:t>
      </w:r>
      <w:r>
        <w:rPr>
          <w:rStyle w:val="VerbatimChar"/>
        </w:rPr>
        <w:t xml:space="preserve">EXPIRADA</w:t>
      </w:r>
      <w:r>
        <w:t xml:space="preserve"> </w:t>
      </w:r>
      <w:r>
        <w:t xml:space="preserve">y se registra la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Se remueven los privilegios del token JWT y el Administrador General es cerrado de la sesión del colegio.</w:t>
      </w:r>
    </w:p>
    <w:p>
      <w:pPr>
        <w:pStyle w:val="Compact"/>
        <w:numPr>
          <w:ilvl w:val="1"/>
          <w:numId w:val="1008"/>
        </w:numPr>
      </w:pPr>
      <w:r>
        <w:t xml:space="preserve">Se notifica a los directivos del plantel por email y sistema especificando la duración total y la cantidad de acciones registradas.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Impide que las sesiones de supervisión queden abiertas indefinidamente por descuido del usuario.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Auditoría, Configuración Académica.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13">
        <w:r>
          <w:rPr>
            <w:rStyle w:val="Hyperlink"/>
          </w:rPr>
          <w:t xml:space="preserve">schedulerService.ts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expireSupervisions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hyperlink r:id="rId11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(Proceso en background)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HU-SUP-003, HU-SUP-004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inmutabilidad-de-auditoría"/>
    <w:p>
      <w:pPr>
        <w:pStyle w:val="Heading2"/>
      </w:pPr>
      <w:r>
        <w:t xml:space="preserve">Inmutabilidad de Auditoría</w:t>
      </w:r>
    </w:p>
    <w:bookmarkStart w:id="18" w:name="X14b14954bc924e9a12e2d86bf106c1d5e93fc49"/>
    <w:p>
      <w:pPr>
        <w:pStyle w:val="Heading3"/>
      </w:pPr>
      <w:r>
        <w:t xml:space="preserve">RN-SUP-004: Inmutabilidad de Bitácoras de Auditoría (Triggers SQL)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tablas de auditoría</w:t>
      </w:r>
      <w:r>
        <w:t xml:space="preserve"> </w:t>
      </w:r>
      <w:r>
        <w:rPr>
          <w:rStyle w:val="VerbatimChar"/>
        </w:rPr>
        <w:t xml:space="preserve">auditoria_supervision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 </w:t>
      </w:r>
      <w:r>
        <w:t xml:space="preserve">están protegidas por triggers de base de datos (</w:t>
      </w:r>
      <w:r>
        <w:rPr>
          <w:rStyle w:val="VerbatimChar"/>
        </w:rPr>
        <w:t xml:space="preserve">proteger_acciones_auditoria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proteger_auditoria_finalizada</w:t>
      </w:r>
      <w:r>
        <w:t xml:space="preserve">). Cualquier sentencia SQL que ejecute un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 intente modificar una sesión finalizada será abortada inmediatamente por PostgreSQL.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inalterabilidad legal de las bitácoras para auditorías de entes de control externos (Ministerio de Educación, Secretarías de Educación).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16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(Triggers</w:t>
      </w:r>
      <w:r>
        <w:t xml:space="preserve"> </w:t>
      </w:r>
      <w:r>
        <w:rPr>
          <w:rStyle w:val="VerbatimChar"/>
        </w:rPr>
        <w:t xml:space="preserve">proteger_acciones_auditoria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proteger_auditoria_finalizada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7">
        <w:r>
          <w:rPr>
            <w:rStyle w:val="Hyperlink"/>
          </w:rPr>
          <w:t xml:space="preserve">tablasAuditoria.sql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(Capa de persistencia SQL)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HU-SUP-005, HU-SUP-008</w:t>
      </w:r>
    </w:p>
    <w:p>
      <w:r>
        <w:pict>
          <v:rect style="width:0;height:1.5pt" o:hralign="center" o:hrstd="t" o:hr="t"/>
        </w:pict>
      </w:r>
    </w:p>
    <w:bookmarkEnd w:id="18"/>
    <w:bookmarkStart w:id="19" w:name="Xd17c0bc89f66d5124c29898a606223d26e89416"/>
    <w:p>
      <w:pPr>
        <w:pStyle w:val="Heading3"/>
      </w:pPr>
      <w:r>
        <w:t xml:space="preserve">RN-SUP-005: Captura Comparativa en Formato JSONB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En acciones de tipo</w:t>
      </w:r>
      <w:r>
        <w:t xml:space="preserve"> </w:t>
      </w:r>
      <w:r>
        <w:rPr>
          <w:rStyle w:val="VerbatimChar"/>
        </w:rPr>
        <w:t xml:space="preserve">MODIFICACION</w:t>
      </w:r>
      <w:r>
        <w:t xml:space="preserve"> </w:t>
      </w:r>
      <w:r>
        <w:t xml:space="preserve">realizadas durante una supervisión, el middleware de auditoría debe capturar el registro original antes del cambio (</w:t>
      </w:r>
      <w:r>
        <w:rPr>
          <w:rStyle w:val="VerbatimChar"/>
        </w:rPr>
        <w:t xml:space="preserve">valor_antiguo</w:t>
      </w:r>
      <w:r>
        <w:t xml:space="preserve">) y el registro modificado (</w:t>
      </w:r>
      <w:r>
        <w:rPr>
          <w:rStyle w:val="VerbatimChar"/>
        </w:rPr>
        <w:t xml:space="preserve">valor_nuevo</w:t>
      </w:r>
      <w:r>
        <w:t xml:space="preserve">) y almacenarlos en formato JSONB de PostgreSQL junto con el</w:t>
      </w:r>
      <w:r>
        <w:t xml:space="preserve"> </w:t>
      </w:r>
      <w:r>
        <w:rPr>
          <w:rStyle w:val="VerbatimChar"/>
        </w:rPr>
        <w:t xml:space="preserve">motivo_cambio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reconstruir con precisión milimétrica qué campos fueron modificados y revertir cambios si ocurriesen errores.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3"/>
        </w:numPr>
      </w:pPr>
      <w:hyperlink r:id="rId11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(Lógica de intercepción de respuestas JSON y captura de estado previo)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de actualización del sistema (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HU-SUP-005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11" Target="file:///c:/Users/alejo/Downloads/segundoProyecto/backend/src/middleware/authMiddleware.ts" TargetMode="External" /><Relationship Type="http://schemas.openxmlformats.org/officeDocument/2006/relationships/hyperlink" Id="rId13" Target="file:///c:/Users/alejo/Downloads/segundoProyecto/backend/src/services/schedulerService.ts" TargetMode="External" /><Relationship Type="http://schemas.openxmlformats.org/officeDocument/2006/relationships/hyperlink" Id="rId16" Target="file:///c:/Users/alejo/Downloads/segundoProyecto/guides/AcademiaNeivaBD.sql" TargetMode="External" /><Relationship Type="http://schemas.openxmlformats.org/officeDocument/2006/relationships/hyperlink" Id="rId17" Target="file:///c:/Users/alejo/Downloads/segundoProyecto/guides/Auditorias/tablasAuditori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11" Target="file:///c:/Users/alejo/Downloads/segundoProyecto/backend/src/middleware/authMiddleware.ts" TargetMode="External" /><Relationship Type="http://schemas.openxmlformats.org/officeDocument/2006/relationships/hyperlink" Id="rId13" Target="file:///c:/Users/alejo/Downloads/segundoProyecto/backend/src/services/schedulerService.ts" TargetMode="External" /><Relationship Type="http://schemas.openxmlformats.org/officeDocument/2006/relationships/hyperlink" Id="rId16" Target="file:///c:/Users/alejo/Downloads/segundoProyecto/guides/AcademiaNeivaBD.sql" TargetMode="External" /><Relationship Type="http://schemas.openxmlformats.org/officeDocument/2006/relationships/hyperlink" Id="rId17" Target="file:///c:/Users/alejo/Downloads/segundoProyecto/guides/Auditorias/tablasAuditori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