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c8e9b359282ba9fd3f9079f070fb1489628cd48"/>
    <w:p>
      <w:pPr>
        <w:pStyle w:val="Heading1"/>
      </w:pPr>
      <w:r>
        <w:t xml:space="preserve">📙 AcademiaNeiva — Documento Técnico de Arquitectura e Ingeniería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Sistema de Gestión Académica Institucional Multitenant — AcademiaNeiva</w:t>
      </w:r>
      <w:r>
        <w:br/>
      </w:r>
      <w:r>
        <w:rPr>
          <w:b/>
          <w:bCs/>
        </w:rPr>
        <w:t xml:space="preserve">Manual de Arquitectura de Software, Patrones de Diseño e Ingeniería (Volumen 2: Técnico)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2.5.0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Arquitecto de Software Senior &amp; Lead Technical Writer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 — Documento Maestro Técnico</w:t>
      </w:r>
    </w:p>
    <w:p>
      <w:r>
        <w:pict>
          <v:rect style="width:0;height:1.5pt" o:hralign="center" o:hrstd="t" o:hr="t"/>
        </w:pict>
      </w:r>
    </w:p>
    <w:bookmarkEnd w:id="9"/>
    <w:bookmarkStart w:id="10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 y Descripciones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Diseño inicial de la API Express, modelos relacionales y tokens JWT.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Implementación de Triggers de inmutabilidad PL/pgSQL y captura de deltas JSONB en auditorías.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Arquitecto Senior</w:t>
            </w:r>
          </w:p>
        </w:tc>
        <w:tc>
          <w:tcPr/>
          <w:p>
            <w:pPr>
              <w:pStyle w:val="Compact"/>
            </w:pPr>
            <w:r>
              <w:t xml:space="preserve">Redacción del Manual de Ingeniería con 9 ADRs completos, guía de onboarding para nuevos desarrolladores y especificaciones de despliegue.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2.5.0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  <w:tc>
          <w:tcPr/>
          <w:p>
            <w:pPr>
              <w:pStyle w:val="Compact"/>
            </w:pPr>
            <w:r>
              <w:t xml:space="preserve">Senior Software Architect &amp; Lead Engineer</w:t>
            </w:r>
          </w:p>
        </w:tc>
        <w:tc>
          <w:tcPr/>
          <w:p>
            <w:pPr>
              <w:pStyle w:val="Compact"/>
            </w:pPr>
            <w:r>
              <w:t xml:space="preserve">Actualización técnica integral: incorporación de Kysely Query Builder con tipado estático TypeScript (</w:t>
            </w:r>
            <w:r>
              <w:rPr>
                <w:rStyle w:val="VerbatimChar"/>
              </w:rPr>
              <w:t xml:space="preserve">db.types.ts</w:t>
            </w:r>
            <w:r>
              <w:t xml:space="preserve">), capa de validación de esquemas Zod (ADR-010 y ADR-011), arquitectura de 21 módulos, flujo de verificación OTP transaccional y patrón de seguimiento directivo espejo en Pinia.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29f69f3ef07cefef085366cabdd6b11ee226e89">
        <w:r>
          <w:rPr>
            <w:rStyle w:val="Hyperlink"/>
          </w:rPr>
          <w:t xml:space="preserve">1. Introducción Técnica</w:t>
        </w:r>
      </w:hyperlink>
    </w:p>
    <w:p>
      <w:pPr>
        <w:pStyle w:val="Compact"/>
        <w:numPr>
          <w:ilvl w:val="0"/>
          <w:numId w:val="1001"/>
        </w:numPr>
      </w:pPr>
      <w:hyperlink w:anchor="X3dcdb5d9ab77c1b2920b06e8d7c06f628598209">
        <w:r>
          <w:rPr>
            <w:rStyle w:val="Hyperlink"/>
          </w:rPr>
          <w:t xml:space="preserve">2. Arquitectura de Software</w:t>
        </w:r>
      </w:hyperlink>
    </w:p>
    <w:p>
      <w:pPr>
        <w:pStyle w:val="Compact"/>
        <w:numPr>
          <w:ilvl w:val="0"/>
          <w:numId w:val="1001"/>
        </w:numPr>
      </w:pPr>
      <w:hyperlink w:anchor="X27d2f9831f0279620c127db6606a5057d73568a">
        <w:r>
          <w:rPr>
            <w:rStyle w:val="Hyperlink"/>
          </w:rPr>
          <w:t xml:space="preserve">3. Registro de Decisiones Arquitectónicas (ADRs)</w:t>
        </w:r>
      </w:hyperlink>
    </w:p>
    <w:p>
      <w:pPr>
        <w:pStyle w:val="Compact"/>
        <w:numPr>
          <w:ilvl w:val="0"/>
          <w:numId w:val="1001"/>
        </w:numPr>
      </w:pPr>
      <w:hyperlink w:anchor="X3aa5ff01e46c9a4a801d305344cd6f287095556">
        <w:r>
          <w:rPr>
            <w:rStyle w:val="Hyperlink"/>
          </w:rPr>
          <w:t xml:space="preserve">4. Modelo de Datos Relacional y Triggers SQL</w:t>
        </w:r>
      </w:hyperlink>
    </w:p>
    <w:p>
      <w:pPr>
        <w:pStyle w:val="Compact"/>
        <w:numPr>
          <w:ilvl w:val="0"/>
          <w:numId w:val="1001"/>
        </w:numPr>
      </w:pPr>
      <w:hyperlink w:anchor="X32638604126b3c89f475936409ba0707cb368b8">
        <w:r>
          <w:rPr>
            <w:rStyle w:val="Hyperlink"/>
          </w:rPr>
          <w:t xml:space="preserve">5. Esquema de Seguridad, JWT y Blacklist</w:t>
        </w:r>
      </w:hyperlink>
    </w:p>
    <w:p>
      <w:pPr>
        <w:pStyle w:val="Compact"/>
        <w:numPr>
          <w:ilvl w:val="0"/>
          <w:numId w:val="1001"/>
        </w:numPr>
      </w:pPr>
      <w:hyperlink w:anchor="X86bd7005cfe3a989fdf046bc7bb8ff119171190">
        <w:r>
          <w:rPr>
            <w:rStyle w:val="Hyperlink"/>
          </w:rPr>
          <w:t xml:space="preserve">6. Integración entre Módulos y Servicios</w:t>
        </w:r>
      </w:hyperlink>
    </w:p>
    <w:p>
      <w:pPr>
        <w:pStyle w:val="Compact"/>
        <w:numPr>
          <w:ilvl w:val="0"/>
          <w:numId w:val="1001"/>
        </w:numPr>
      </w:pPr>
      <w:hyperlink w:anchor="Xcfb1b7d69430ac0431ef364055c1871226a5df1">
        <w:r>
          <w:rPr>
            <w:rStyle w:val="Hyperlink"/>
          </w:rPr>
          <w:t xml:space="preserve">7. Convenciones, Nomenclatura y UUIDs</w:t>
        </w:r>
      </w:hyperlink>
    </w:p>
    <w:p>
      <w:pPr>
        <w:pStyle w:val="Compact"/>
        <w:numPr>
          <w:ilvl w:val="0"/>
          <w:numId w:val="1001"/>
        </w:numPr>
      </w:pPr>
      <w:hyperlink w:anchor="Xb71cdc7187deeefb879195eee5afab64edb33be">
        <w:r>
          <w:rPr>
            <w:rStyle w:val="Hyperlink"/>
          </w:rPr>
          <w:t xml:space="preserve">8. Stack Tecnológico y Justificaciones</w:t>
        </w:r>
      </w:hyperlink>
    </w:p>
    <w:p>
      <w:pPr>
        <w:pStyle w:val="Compact"/>
        <w:numPr>
          <w:ilvl w:val="0"/>
          <w:numId w:val="1001"/>
        </w:numPr>
      </w:pPr>
      <w:hyperlink w:anchor="Xdf5532ad7978cc48a6a6b7d8919c054fa0eaa34">
        <w:r>
          <w:rPr>
            <w:rStyle w:val="Hyperlink"/>
          </w:rPr>
          <w:t xml:space="preserve">9. Guía de Instalación y Configuración Local</w:t>
        </w:r>
      </w:hyperlink>
    </w:p>
    <w:p>
      <w:pPr>
        <w:pStyle w:val="Compact"/>
        <w:numPr>
          <w:ilvl w:val="0"/>
          <w:numId w:val="1001"/>
        </w:numPr>
      </w:pPr>
      <w:hyperlink w:anchor="X2c0ad575b97949660a92534add9981d45e77f17">
        <w:r>
          <w:rPr>
            <w:rStyle w:val="Hyperlink"/>
          </w:rPr>
          <w:t xml:space="preserve">10. Especificaciones para Despliegue en Producción</w:t>
        </w:r>
      </w:hyperlink>
    </w:p>
    <w:p>
      <w:pPr>
        <w:pStyle w:val="Compact"/>
        <w:numPr>
          <w:ilvl w:val="0"/>
          <w:numId w:val="1001"/>
        </w:numPr>
      </w:pPr>
      <w:hyperlink w:anchor="X1a98d5ef50da5cfa5c13d78fce65d67fc58d455">
        <w:r>
          <w:rPr>
            <w:rStyle w:val="Hyperlink"/>
          </w:rPr>
          <w:t xml:space="preserve">11. Guía de Onboarding para Nuevos Desarrolladores</w:t>
        </w:r>
      </w:hyperlink>
    </w:p>
    <w:p>
      <w:pPr>
        <w:pStyle w:val="Compact"/>
        <w:numPr>
          <w:ilvl w:val="0"/>
          <w:numId w:val="1001"/>
        </w:numPr>
      </w:pPr>
      <w:hyperlink w:anchor="Xb330c9b8c51303af4cc15bc544ce56e4a252435">
        <w:r>
          <w:rPr>
            <w:rStyle w:val="Hyperlink"/>
          </w:rPr>
          <w:t xml:space="preserve">12. Glosario Técnico y Referencias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introducción-técnica"/>
    <w:p>
      <w:pPr>
        <w:pStyle w:val="Heading2"/>
      </w:pPr>
      <w:r>
        <w:t xml:space="preserve">1. Introducción Técnica</w:t>
      </w:r>
    </w:p>
    <w:bookmarkStart w:id="12" w:name="propósito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Este manual es la</w:t>
      </w:r>
      <w:r>
        <w:t xml:space="preserve"> </w:t>
      </w:r>
      <w:r>
        <w:rPr>
          <w:b/>
          <w:bCs/>
        </w:rPr>
        <w:t xml:space="preserve">referencia técnica definitiva para ingenieros de software, arquitectos y desarrolladores</w:t>
      </w:r>
      <w:r>
        <w:t xml:space="preserve"> </w:t>
      </w:r>
      <w:r>
        <w:t xml:space="preserve">que ingresen al proyecto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Su meta es explicar la arquitectura del sistema, los patrones de código elegidos, los mecanismos de persistencia en PostgreSQL y los</w:t>
      </w:r>
      <w:r>
        <w:t xml:space="preserve"> </w:t>
      </w:r>
      <w:r>
        <w:rPr>
          <w:b/>
          <w:bCs/>
        </w:rPr>
        <w:t xml:space="preserve">11 Registros de Decisiones Arquitectónicas (ADRs)</w:t>
      </w:r>
      <w:r>
        <w:t xml:space="preserve"> </w:t>
      </w:r>
      <w:r>
        <w:t xml:space="preserve">para transmitir no solo</w:t>
      </w:r>
      <w:r>
        <w:t xml:space="preserve"> </w:t>
      </w:r>
      <w:r>
        <w:rPr>
          <w:i/>
          <w:iCs/>
        </w:rPr>
        <w:t xml:space="preserve">cómo funciona</w:t>
      </w:r>
      <w:r>
        <w:t xml:space="preserve"> </w:t>
      </w:r>
      <w:r>
        <w:t xml:space="preserve">la plataforma, sino</w:t>
      </w:r>
      <w:r>
        <w:t xml:space="preserve"> </w:t>
      </w:r>
      <w:r>
        <w:rPr>
          <w:i/>
          <w:iCs/>
        </w:rPr>
        <w:t xml:space="preserve">por qué fue diseñada de esta manera</w:t>
      </w:r>
      <w:r>
        <w:t xml:space="preserve">.</w:t>
      </w:r>
    </w:p>
    <w:bookmarkEnd w:id="12"/>
    <w:bookmarkStart w:id="13" w:name="perfil-del-desarrollador-objetivo"/>
    <w:p>
      <w:pPr>
        <w:pStyle w:val="Heading3"/>
      </w:pPr>
      <w:r>
        <w:t xml:space="preserve">Perfil del Desarrollador Objetivo</w:t>
      </w:r>
    </w:p>
    <w:p>
      <w:pPr>
        <w:pStyle w:val="FirstParagraph"/>
      </w:pPr>
      <w:r>
        <w:t xml:space="preserve">Desarrollador Fullstack o Backend/Frontend con conocimientos en TypeScript, Vue 3 (Composition API), Node.js, Express, Kysely y PostgreSQL relacional. Este documento elimina la necesidad de consultar al autor original del código.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arquitectura-de-software"/>
    <w:p>
      <w:pPr>
        <w:pStyle w:val="Heading2"/>
      </w:pPr>
      <w:r>
        <w:t xml:space="preserve">2. Arquitectura de Software</w:t>
      </w:r>
    </w:p>
    <w:p>
      <w:pPr>
        <w:pStyle w:val="FirstParagraph"/>
      </w:pPr>
      <w:r>
        <w:t xml:space="preserve">El sistema utiliza una</w:t>
      </w:r>
      <w:r>
        <w:t xml:space="preserve"> </w:t>
      </w:r>
      <w:r>
        <w:rPr>
          <w:b/>
          <w:bCs/>
        </w:rPr>
        <w:t xml:space="preserve">Arquitectura en Capas Desacoplada</w:t>
      </w:r>
      <w:r>
        <w:t xml:space="preserve"> </w:t>
      </w:r>
      <w:r>
        <w:t xml:space="preserve">(Client-Server REST API) orientada al aislamiento Multi-Tenant por columna discriminadora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bookmarkStart w:id="18" w:name="diagrama-general-de-capas-técnicas"/>
    <w:p>
      <w:pPr>
        <w:pStyle w:val="Heading3"/>
      </w:pPr>
      <w:r>
        <w:t xml:space="preserve">Diagrama General de Capas Técnicas</w:t>
      </w:r>
    </w:p>
    <w:p>
      <w:pPr>
        <w:pStyle w:val="CaptionedFigure"/>
      </w:pPr>
      <w:r>
        <w:drawing>
          <wp:inline>
            <wp:extent cx="5334000" cy="7060923"/>
            <wp:effectExtent b="0" l="0" r="0" t="0"/>
            <wp:docPr descr="Diagrama" title="" id="16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2aa06bdd4039b335a1c5097295b3657420e1bf4bfb92f16d152c9cd02a9f494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X7fde49cf183e8e68a44339eb2e16be59c3dcefe"/>
    <w:p>
      <w:pPr>
        <w:pStyle w:val="Heading2"/>
      </w:pPr>
      <w:r>
        <w:t xml:space="preserve">3. Registro de Decisiones Arquitectónicas (ADRs)</w:t>
      </w:r>
    </w:p>
    <w:p>
      <w:r>
        <w:pict>
          <v:rect style="width:0;height:1.5pt" o:hralign="center" o:hrstd="t" o:hr="t"/>
        </w:pict>
      </w:r>
    </w:p>
    <w:bookmarkStart w:id="20" w:name="Xfb4ec5b007292c5074ac17addc538b2dae12487"/>
    <w:p>
      <w:pPr>
        <w:pStyle w:val="Heading3"/>
      </w:pPr>
      <w:r>
        <w:t xml:space="preserve">ADR-001: Selección de Vue 3 (Composition API) + Pinia para el 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Se requería una interfaz altamente interactiva, reactiva y modular capaz de gestionar planillas de notas masivas con renderizado instantáneo de promedios.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React.js</w:t>
      </w:r>
      <w:r>
        <w:t xml:space="preserve">: Requería mayor boilerplate y librerías externas de gestión de estado.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Blade / SSR Monolítico</w:t>
      </w:r>
      <w:r>
        <w:t xml:space="preserve">: Degradaba la experiencia del usuario al recargar la página completa en cada cambio de celda de nota.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Adoptar</w:t>
      </w:r>
      <w:r>
        <w:t xml:space="preserve"> </w:t>
      </w:r>
      <w:r>
        <w:rPr>
          <w:b/>
          <w:bCs/>
        </w:rPr>
        <w:t xml:space="preserve">Vue 3 con Composition API + TypeScript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Pinia</w:t>
      </w:r>
      <w:r>
        <w:t xml:space="preserve"> </w:t>
      </w:r>
      <w:r>
        <w:t xml:space="preserve">para la gestión de estado centralizada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academicYear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Excelente reactividad con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computed()</w:t>
      </w:r>
      <w:r>
        <w:t xml:space="preserve">, tipado estático estricto y menor huella de memoria en cliente.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Se debe asegurar que las operaciones pesadas de cálculo de promedios se mantengan sincronizadas entre la vista de Vue y el backend.</w:t>
      </w:r>
    </w:p>
    <w:p>
      <w:r>
        <w:pict>
          <v:rect style="width:0;height:1.5pt" o:hralign="center" o:hrstd="t" o:hr="t"/>
        </w:pict>
      </w:r>
    </w:p>
    <w:bookmarkEnd w:id="20"/>
    <w:bookmarkStart w:id="21" w:name="X2b1c977c695e4fe5460a047cd1d9be5067eee59"/>
    <w:p>
      <w:pPr>
        <w:pStyle w:val="Heading3"/>
      </w:pPr>
      <w:r>
        <w:t xml:space="preserve">ADR-002: Selección de Node.js + Express.js Desacoplado para la API REST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Necesidad de una API RESTful ligera, de alta concurrencia y capaz de procesar operaciones E/S no bloqueantes (envío de emails, generación de PDFs en background y webhooks).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Spring Boot (Java)</w:t>
      </w:r>
      <w:r>
        <w:t xml:space="preserve">: Mayor tiempo de inicio y consumo de memoria RAM elevado en servidores de despliegue.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Laravel (PHP)</w:t>
      </w:r>
      <w:r>
        <w:t xml:space="preserve">: Acoplamiento monolítico por defecto; requería configuraciones adicionales para operar como API REST desvinculada.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Construir una</w:t>
      </w:r>
      <w:r>
        <w:t xml:space="preserve"> </w:t>
      </w:r>
      <w:r>
        <w:rPr>
          <w:b/>
          <w:bCs/>
        </w:rPr>
        <w:t xml:space="preserve">API REST desacoplada en Node.js con Express.js y TypeScript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Mismo lenguaje (TypeScript) en frontend y backend, arquitectura E/S asíncrona ideal para notificaciones y escalabilidad horizontal simple.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Se requiere implementar un manejo de errores asíncrono estricto (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y middleware global) para evitar cierres del proceso Node.</w:t>
      </w:r>
    </w:p>
    <w:p>
      <w:r>
        <w:pict>
          <v:rect style="width:0;height:1.5pt" o:hralign="center" o:hrstd="t" o:hr="t"/>
        </w:pict>
      </w:r>
    </w:p>
    <w:bookmarkEnd w:id="21"/>
    <w:bookmarkStart w:id="22" w:name="Xdcdac77244700aae43f4ecdb4cbf730fb126068"/>
    <w:p>
      <w:pPr>
        <w:pStyle w:val="Heading3"/>
      </w:pPr>
      <w:r>
        <w:t xml:space="preserve">ADR-003: Selección de PostgreSQL con Triggers PL/pgSQL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Necesidad de garantizar la inmutabilidad legal de las notas y las bitácoras de auditoría, impidiendo que sentencias SQL accidentales o maliciosas eliminen o modifiquen registros cerrados.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MySQL / MariaDB</w:t>
      </w:r>
      <w:r>
        <w:t xml:space="preserve">: Soporte de triggers y funciones almacenadas con sintaxis menos potente que PL/pgSQL.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MongoDB</w:t>
      </w:r>
      <w:r>
        <w:t xml:space="preserve">: Ausencia de restricciones de integridad referencial nativas y soporte de transacciones complejas más costoso.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Adoptar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como motor de base de datos primario utilizando funciones PL/pgSQL y columnas JSONB.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Permite ejecutar triggers de inmutabilidad (</w:t>
      </w:r>
      <w:r>
        <w:rPr>
          <w:rStyle w:val="VerbatimChar"/>
        </w:rPr>
        <w:t xml:space="preserve">fn_bloquear_periodo_cerrado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proteger_acciones_auditoria</w:t>
      </w:r>
      <w:r>
        <w:t xml:space="preserve">) directamente en la capa de persistencia. Si el backend falla, la base de datos aborta la sentencia.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Se debe mantener la sincronización entre las migraciones SQL y los modelos TypeScript del backend.</w:t>
      </w:r>
    </w:p>
    <w:p>
      <w:r>
        <w:pict>
          <v:rect style="width:0;height:1.5pt" o:hralign="center" o:hrstd="t" o:hr="t"/>
        </w:pict>
      </w:r>
    </w:p>
    <w:bookmarkEnd w:id="22"/>
    <w:bookmarkStart w:id="23" w:name="Xd8c01e3064bf05f54abab173d32309a578afe06"/>
    <w:p>
      <w:pPr>
        <w:pStyle w:val="Heading3"/>
      </w:pPr>
      <w:r>
        <w:t xml:space="preserve">ADR-004: Diseño Multi-Tenant con Discriminador</w:t>
      </w:r>
      <w:r>
        <w:t xml:space="preserve"> </w:t>
      </w:r>
      <w:r>
        <w:rPr>
          <w:rStyle w:val="VerbatimChar"/>
        </w:rPr>
        <w:t xml:space="preserve">id_colegio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Permitir que múltiples instituciones educativas utilicen el sistema manteniendo un aislamiento total de sus datos sin disparar los costos de infraestructura.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Database-per-tenant</w:t>
      </w:r>
      <w:r>
        <w:t xml:space="preserve">: Una base de datos independiente por colegio. Muy costoso en mantenimiento de migraciones y servidores.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Schema-per-tenant</w:t>
      </w:r>
      <w:r>
        <w:t xml:space="preserve">: Un esquema PostgreSQL por colegio. Complejo para consultas de analítica global del Admin General.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Utilizar un</w:t>
      </w:r>
      <w:r>
        <w:t xml:space="preserve"> </w:t>
      </w:r>
      <w:r>
        <w:rPr>
          <w:b/>
          <w:bCs/>
        </w:rPr>
        <w:t xml:space="preserve">Esquema Único Compartido con columna discriminadora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id_colegio</w:t>
      </w:r>
      <w:r>
        <w:t xml:space="preserve"> </w:t>
      </w:r>
      <w:r>
        <w:t xml:space="preserve">en todas las tablas institucionales.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Mantenimiento centralizado de migraciones, costos de hosting mínimos y analítica global inmediata para el Administrador General.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El middleware de autenticación (</w:t>
      </w:r>
      <w:r>
        <w:rPr>
          <w:rStyle w:val="VerbatimChar"/>
        </w:rPr>
        <w:t xml:space="preserve">verifyToken</w:t>
      </w:r>
      <w:r>
        <w:t xml:space="preserve">) debe inyectar y validar obligatoriamente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en el 100% de las consultas SQL para prevenir fuga de información entre inquilinos.</w:t>
      </w:r>
    </w:p>
    <w:p>
      <w:r>
        <w:pict>
          <v:rect style="width:0;height:1.5pt" o:hralign="center" o:hrstd="t" o:hr="t"/>
        </w:pict>
      </w:r>
    </w:p>
    <w:bookmarkEnd w:id="23"/>
    <w:bookmarkStart w:id="24" w:name="Xc71911acd929d333a949b3d958f64422871161c"/>
    <w:p>
      <w:pPr>
        <w:pStyle w:val="Heading3"/>
      </w:pPr>
      <w:r>
        <w:t xml:space="preserve">ADR-005: Almacenamiento JSONB de Deltas (</w:t>
      </w:r>
      <w:r>
        <w:rPr>
          <w:rStyle w:val="VerbatimChar"/>
        </w:rPr>
        <w:t xml:space="preserve">valor_antiguo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Registrar auditorías detalladas de los cambios realizados por el Administrador General durante una supervisión sin crear tablas de auditoría dedicadas para cada una de las 48 tablas del sistema.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Tablas de histórico clonadas</w:t>
      </w:r>
      <w:r>
        <w:t xml:space="preserve">: Duplica el número de tablas en la base de datos y requiere mantenimiento de triggers por tabla.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Archivos de log de texto plano (</w:t>
      </w:r>
      <w:r>
        <w:rPr>
          <w:rStyle w:val="VerbatimChar"/>
          <w:i/>
          <w:iCs/>
        </w:rPr>
        <w:t xml:space="preserve">.log</w:t>
      </w:r>
      <w:r>
        <w:rPr>
          <w:i/>
          <w:iCs/>
        </w:rPr>
        <w:t xml:space="preserve">)</w:t>
      </w:r>
      <w:r>
        <w:t xml:space="preserve">: Difíciles de consultar, filtrar o exportar desde la interfaz de usuario.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Utilizar una</w:t>
      </w:r>
      <w:r>
        <w:t xml:space="preserve"> </w:t>
      </w:r>
      <w:r>
        <w:rPr>
          <w:b/>
          <w:bCs/>
        </w:rPr>
        <w:t xml:space="preserve">columna tipo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JSONB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valor_antiguo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valor_nuevo</w:t>
      </w:r>
      <w:r>
        <w:rPr>
          <w:b/>
          <w:bCs/>
        </w:rPr>
        <w:t xml:space="preserve">)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Estructura flexible capaz de almacenar cualquier registro modificado manteniendo la capacidad de indexación y consulta JSON de PostgreSQL.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El middleware de auditoría debe capturar el estado del objeto antes de ejecutar la actualización.</w:t>
      </w:r>
    </w:p>
    <w:p>
      <w:r>
        <w:pict>
          <v:rect style="width:0;height:1.5pt" o:hralign="center" o:hrstd="t" o:hr="t"/>
        </w:pict>
      </w:r>
    </w:p>
    <w:bookmarkEnd w:id="24"/>
    <w:bookmarkStart w:id="25" w:name="X441d40d36e26b172b63700ebed2f31d36a52fe3"/>
    <w:p>
      <w:pPr>
        <w:pStyle w:val="Heading3"/>
      </w:pPr>
      <w:r>
        <w:t xml:space="preserve">ADR-006: Sincronización en Caliente mediante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para Cursos Paralelos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Evitar que los directivos o profesores tengan que transcribir la misma competencia varias veces para cursos del mismo nivel (ej. Primero A, B y C).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Vinculación por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id_grado</w:t>
      </w:r>
      <w:r>
        <w:rPr>
          <w:i/>
          <w:iCs/>
        </w:rPr>
        <w:t xml:space="preserve"> </w:t>
      </w:r>
      <w:r>
        <w:rPr>
          <w:i/>
          <w:iCs/>
        </w:rPr>
        <w:t xml:space="preserve">únicamente</w:t>
      </w:r>
      <w:r>
        <w:t xml:space="preserve">: Impedía que un profesor pudiera personalizar levemente la descripción para un grupo en particular.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Duplicación manual sin enlace</w:t>
      </w:r>
      <w:r>
        <w:t xml:space="preserve">: Provocaba desajustes si se corregía una falta de ortografía en el enunciado.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Crear competencias independientes por grupo pero asignándoles el mismo</w:t>
      </w:r>
      <w:r>
        <w:t xml:space="preserve"> </w:t>
      </w:r>
      <w:r>
        <w:rPr>
          <w:rStyle w:val="VerbatimChar"/>
          <w:b/>
          <w:bCs/>
        </w:rPr>
        <w:t xml:space="preserve">sync_uuid</w:t>
      </w:r>
      <w:r>
        <w:rPr>
          <w:b/>
          <w:bCs/>
        </w:rPr>
        <w:t xml:space="preserve"> </w:t>
      </w:r>
      <w:r>
        <w:rPr>
          <w:b/>
          <w:bCs/>
        </w:rPr>
        <w:t xml:space="preserve">(UUIDv4)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Al editar una competencia, el backend actualiza en bloque todos los registros con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, manteniendo la capacidad de personalización si se desvincula.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Las operaciones de actualización deben ejecutarse dentro de una transacción atómica SQL.</w:t>
      </w:r>
    </w:p>
    <w:p>
      <w:r>
        <w:pict>
          <v:rect style="width:0;height:1.5pt" o:hralign="center" o:hrstd="t" o:hr="t"/>
        </w:pict>
      </w:r>
    </w:p>
    <w:bookmarkEnd w:id="25"/>
    <w:bookmarkStart w:id="26" w:name="Xc424f9aec9b2f2fbbb5583abb05838c34960f99"/>
    <w:p>
      <w:pPr>
        <w:pStyle w:val="Heading3"/>
      </w:pPr>
      <w:r>
        <w:t xml:space="preserve">ADR-007: Codificación Base36 para Ofuscación de Tickets Públicos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Permitir a visitantes anónimos consultar el estado de sus tickets de soporte sin exponer IDs correlativos numéricos de base de datos que faciliten ataques de enumeración.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IDs Autoincrementales simples (</w:t>
      </w:r>
      <w:r>
        <w:rPr>
          <w:rStyle w:val="VerbatimChar"/>
          <w:i/>
          <w:iCs/>
        </w:rPr>
        <w:t xml:space="preserve">/tickets/12</w:t>
      </w:r>
      <w:r>
        <w:rPr>
          <w:i/>
          <w:iCs/>
        </w:rPr>
        <w:t xml:space="preserve">)</w:t>
      </w:r>
      <w:r>
        <w:t xml:space="preserve">: Vulnerable a scraping.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UUID v4 estándar</w:t>
      </w:r>
      <w:r>
        <w:t xml:space="preserve">: Muy largo y difícil de digitar por un usuario en un formulario impreso o de soporte.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Generar un</w:t>
      </w:r>
      <w:r>
        <w:t xml:space="preserve"> </w:t>
      </w:r>
      <w:r>
        <w:rPr>
          <w:b/>
          <w:bCs/>
        </w:rPr>
        <w:t xml:space="preserve">código Base36 corto prefijado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TKT-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TKT-1B3X9H7Z</w:t>
      </w:r>
      <w:r>
        <w:t xml:space="preserve">) calculado a partir de un entero derivado del año, colegio, documento y ticket.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Código legible, amigable para el usuario y resistente a ataques de enumeración.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Se requiere una función de codificación/decodificación determinista en el controlador de soporte.</w:t>
      </w:r>
    </w:p>
    <w:p>
      <w:r>
        <w:pict>
          <v:rect style="width:0;height:1.5pt" o:hralign="center" o:hrstd="t" o:hr="t"/>
        </w:pict>
      </w:r>
    </w:p>
    <w:bookmarkEnd w:id="26"/>
    <w:bookmarkStart w:id="27" w:name="Xcb050b3dc8ccd73af5d102df3f44e314fbcf2f4"/>
    <w:p>
      <w:pPr>
        <w:pStyle w:val="Heading3"/>
      </w:pPr>
      <w:r>
        <w:t xml:space="preserve">ADR-008: Doble Capa de Inmutabilidad (Middleware Express + Trigger SQL)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Asegurar que los periodos cerrados no reciban modificaciones ni por peticiones HTTP ni por scripts de consola o acceso directo a base de datos.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Validación únicamente en Controllers Node</w:t>
      </w:r>
      <w:r>
        <w:t xml:space="preserve">: Vulnerable si un desarrollador olvida incluir el helper de validación en una nueva ruta API.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Validación únicamente en SQL</w:t>
      </w:r>
      <w:r>
        <w:t xml:space="preserve">: Lanza excepciones crudas que retornarían errores 500 no semánticos al cliente HTTP.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Implementar una</w:t>
      </w:r>
      <w:r>
        <w:t xml:space="preserve"> </w:t>
      </w:r>
      <w:r>
        <w:rPr>
          <w:b/>
          <w:bCs/>
        </w:rPr>
        <w:t xml:space="preserve">Doble Capa de Protección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Layer 1 (Express): Helper</w:t>
      </w:r>
      <w:r>
        <w:t xml:space="preserve"> </w:t>
      </w:r>
      <w:r>
        <w:rPr>
          <w:rStyle w:val="VerbatimChar"/>
        </w:rPr>
        <w:t xml:space="preserve">ensureCurrentPeriodOrRespond</w:t>
      </w:r>
      <w:r>
        <w:t xml:space="preserve"> </w:t>
      </w:r>
      <w:r>
        <w:t xml:space="preserve">que retorna respuestas HTTP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con mensajes descriptivos.</w:t>
      </w:r>
    </w:p>
    <w:p>
      <w:pPr>
        <w:pStyle w:val="Compact"/>
        <w:numPr>
          <w:ilvl w:val="1"/>
          <w:numId w:val="1018"/>
        </w:numPr>
      </w:pPr>
      <w:r>
        <w:t xml:space="preserve">Layer 2 (PostgreSQL): 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 </w:t>
      </w:r>
      <w:r>
        <w:t xml:space="preserve">que lanza</w:t>
      </w:r>
      <w:r>
        <w:t xml:space="preserve"> </w:t>
      </w:r>
      <w:r>
        <w:rPr>
          <w:rStyle w:val="VerbatimChar"/>
        </w:rPr>
        <w:t xml:space="preserve">RAISE EXCEPTION</w:t>
      </w:r>
      <w:r>
        <w:t xml:space="preserve"> </w:t>
      </w:r>
      <w:r>
        <w:t xml:space="preserve">en SQL.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Errores limpios y semánticos para la UI y protección infranqueable a nivel de base de datos.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En scripts de migración o seeds de prueba se debe enviar</w:t>
      </w:r>
      <w:r>
        <w:t xml:space="preserve"> </w:t>
      </w:r>
      <w:r>
        <w:rPr>
          <w:rStyle w:val="VerbatimChar"/>
        </w:rPr>
        <w:t xml:space="preserve">SET my.app.bypass_triggers = 'true'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a930377b4a369c5b9450052ad460b7de21c6457"/>
    <w:p>
      <w:pPr>
        <w:pStyle w:val="Heading3"/>
      </w:pPr>
      <w:r>
        <w:t xml:space="preserve">ADR-009: Cierre por Materia Desacoplado con Reapertura Individual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Permitir a un Rector autorizar la corrección de una nota a un solo profesor sin necesidad de reabrir el periodo lectivo completo de todo el colegio.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Cierre global únicamente</w:t>
      </w:r>
      <w:r>
        <w:t xml:space="preserve">: Obligaba a reabrir el periodo a 50 profesores cuando solo uno cometía un error en una nota.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Implementar una tabla de cierre por asignatura (</w:t>
      </w:r>
      <w:r>
        <w:rPr>
          <w:rStyle w:val="VerbatimChar"/>
        </w:rPr>
        <w:t xml:space="preserve">cierre_materia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El Rector puede eliminar el registro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para una asignatura específica (</w:t>
      </w:r>
      <w:r>
        <w:rPr>
          <w:rStyle w:val="VerbatimChar"/>
        </w:rPr>
        <w:t xml:space="preserve">reopenSubjectClosure</w:t>
      </w:r>
      <w:r>
        <w:t xml:space="preserve">), habilitando de nuevo la planilla del docente sin desproteger al resto del plantel.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El cierre institucional requiere verificar que el 100% de las filas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estén cerradas.</w:t>
      </w:r>
    </w:p>
    <w:p>
      <w:r>
        <w:pict>
          <v:rect style="width:0;height:1.5pt" o:hralign="center" o:hrstd="t" o:hr="t"/>
        </w:pict>
      </w:r>
    </w:p>
    <w:bookmarkEnd w:id="28"/>
    <w:bookmarkStart w:id="29" w:name="X752e1445d6ea2a3e91a4a06787562f08d61ee97"/>
    <w:p>
      <w:pPr>
        <w:pStyle w:val="Heading3"/>
      </w:pPr>
      <w:r>
        <w:t xml:space="preserve">ADR-010: Adopción de Kysely como Query Builder SQL Fuertemente Tipado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Las consultas SQL manuales con strings crudos (</w:t>
      </w:r>
      <w:r>
        <w:rPr>
          <w:rStyle w:val="VerbatimChar"/>
        </w:rPr>
        <w:t xml:space="preserve">pool.query(...)</w:t>
      </w:r>
      <w:r>
        <w:t xml:space="preserve">) carecían de comprobación de tipos en tiempo de compilación, lo que facilitaba errores silenciosos por nombres de columnas desactualizadas, tipos incompatibles o fallos en relaciones.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Prisma / TypeORM</w:t>
      </w:r>
      <w:r>
        <w:t xml:space="preserve">: ORMs pesados con sobrecarga en tiempo de ejecución y limitaciones para subconsultas complejas de analítica.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Strings SQL crudos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pg</w:t>
      </w:r>
      <w:r>
        <w:t xml:space="preserve">: Vulnerables a erratas y sin autocompletado en el 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Adoptar</w:t>
      </w:r>
      <w:r>
        <w:t xml:space="preserve"> </w:t>
      </w:r>
      <w:r>
        <w:rPr>
          <w:b/>
          <w:bCs/>
        </w:rPr>
        <w:t xml:space="preserve">Kysely</w:t>
      </w:r>
      <w:r>
        <w:t xml:space="preserve"> </w:t>
      </w:r>
      <w:r>
        <w:t xml:space="preserve">como constructor de consultas SQL tipadas contra PostgreSQL, respaldado por la definición de esquemas en</w:t>
      </w:r>
      <w:r>
        <w:t xml:space="preserve"> </w:t>
      </w:r>
      <w:r>
        <w:rPr>
          <w:rStyle w:val="VerbatimChar"/>
        </w:rPr>
        <w:t xml:space="preserve">backend/src/types/db.types.ts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Validación total en compilación (</w:t>
      </w:r>
      <w:r>
        <w:rPr>
          <w:rStyle w:val="VerbatimChar"/>
        </w:rPr>
        <w:t xml:space="preserve">tsc</w:t>
      </w:r>
      <w:r>
        <w:t xml:space="preserve">), autocompletado inteligente de tablas y columnas, prevención de inyecciones SQL y cero sobrecarga de rendimiento en runtime.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Todas las nuevas tablas y columnas de base de datos deben reflejarse en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39307b8c28db7648f47270f8fd0b53db598cfcb"/>
    <w:p>
      <w:pPr>
        <w:pStyle w:val="Heading3"/>
      </w:pPr>
      <w:r>
        <w:t xml:space="preserve">ADR-011: Validación y Sanitización de DTOs con Zod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Se requería un mecanismo declarativo, estricto y unificado para validar los datos que ingresan a los controladores (</w:t>
      </w:r>
      <w:r>
        <w:rPr>
          <w:rStyle w:val="VerbatimChar"/>
        </w:rPr>
        <w:t xml:space="preserve">req.body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req.params</w:t>
      </w:r>
      <w:r>
        <w:t xml:space="preserve">) antes de ejecutar lógica de negocio o interactuar con la base de datos.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Joi / express-validator</w:t>
      </w:r>
      <w:r>
        <w:t xml:space="preserve">: Requieren sintaxis verbosa y no ofrecen inferencia estricta y nativa de tipos TypeScript.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Validación manual con bloques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</w:t>
      </w:r>
      <w:r>
        <w:t xml:space="preserve">: Propensa a olvidos y genera código repetitivo.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Estandarizar la validación de DTOs utilizando</w:t>
      </w:r>
      <w:r>
        <w:t xml:space="preserve"> </w:t>
      </w:r>
      <w:r>
        <w:rPr>
          <w:b/>
          <w:bCs/>
        </w:rPr>
        <w:t xml:space="preserve">Zod</w:t>
      </w:r>
      <w:r>
        <w:t xml:space="preserve"> </w:t>
      </w:r>
      <w:r>
        <w:t xml:space="preserve">(</w:t>
      </w:r>
      <w:r>
        <w:rPr>
          <w:rStyle w:val="VerbatimChar"/>
        </w:rPr>
        <w:t xml:space="preserve">z.object({...})</w:t>
      </w:r>
      <w:r>
        <w:t xml:space="preserve">) en la capa de entrada de la API.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Tipos inferidos automáticamente (</w:t>
      </w:r>
      <w:r>
        <w:rPr>
          <w:rStyle w:val="VerbatimChar"/>
        </w:rPr>
        <w:t xml:space="preserve">z.infer&lt;typeof Schema&gt;</w:t>
      </w:r>
      <w:r>
        <w:t xml:space="preserve">), validación de patrones (teléfonos 7-20 dígitos, emails, enums), mensajes de error semánticos y protección contra payloads maliciosos.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Los controladores deben validar la carga útil con</w:t>
      </w:r>
      <w:r>
        <w:t xml:space="preserve"> </w:t>
      </w:r>
      <w:r>
        <w:rPr>
          <w:rStyle w:val="VerbatimChar"/>
        </w:rPr>
        <w:t xml:space="preserve">.safeParse()</w:t>
      </w:r>
      <w:r>
        <w:t xml:space="preserve"> </w:t>
      </w:r>
      <w:r>
        <w:t xml:space="preserve">o middlewares dedicados antes de continuar.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35697cba412275dfd88094627fa4c225c645d46"/>
    <w:p>
      <w:pPr>
        <w:pStyle w:val="Heading2"/>
      </w:pPr>
      <w:r>
        <w:t xml:space="preserve">4. Modelo de Datos Relacional y Triggers SQL</w:t>
      </w:r>
    </w:p>
    <w:bookmarkStart w:id="34" w:name="triggers-sql-relevantes-en-postgresql"/>
    <w:p>
      <w:pPr>
        <w:pStyle w:val="Heading3"/>
      </w:pPr>
      <w:r>
        <w:t xml:space="preserve">Triggers SQL Relevantes en PostgreSQL</w:t>
      </w:r>
    </w:p>
    <w:bookmarkStart w:id="32" w:name="X8eba65248f63813e35646d30648d845c10a10cd"/>
    <w:p>
      <w:pPr>
        <w:pStyle w:val="Heading4"/>
      </w:pPr>
      <w:r>
        <w:t xml:space="preserve">Trigger 1: Bloqueo de Periodos Cerrados (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.fn_bloquear_periodo_cerrado() 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v_id_periodo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Permitir bypass para scripts de seed de pruebas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'my.app.bypass_triggers'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Determinar id_periodo según la tabla evaluada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TG_TABLE_NAME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'notas_actividad'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id_periodo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v_id_periodo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actividad_materia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id_actividadmateria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.id_actividadmateria,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.id_actividadmateria);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TG_TABLE_NAME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'observacion_estudiante'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v_id_periodo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.id_periodo,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.id_periodo);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Validar estado del periodo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v_id_periodo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estado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v_estado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periodo_academico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id_periodo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v_id_periodo;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'CERRADO'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'Operación denegada: El periodo académico está cerrado.'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bookmarkEnd w:id="32"/>
    <w:bookmarkStart w:id="33" w:name="Xb8906afd49d90dd35b21c7b4c178ed994426852"/>
    <w:p>
      <w:pPr>
        <w:pStyle w:val="Heading4"/>
      </w:pPr>
      <w:r>
        <w:t xml:space="preserve">Trigger 2: Inmutabilidad de Acciones de Auditoría (</w:t>
      </w:r>
      <w:r>
        <w:rPr>
          <w:rStyle w:val="VerbatimChar"/>
        </w:rPr>
        <w:t xml:space="preserve">proteger_acciones_auditoria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.proteger_acciones_auditoria()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'my.app.bypass_triggers'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'Operación ilegal: Los registros de bitácora de auditoría son legalmente inmutables.'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esquema-de-seguridad-jwt-y-blacklist"/>
    <w:p>
      <w:pPr>
        <w:pStyle w:val="Heading2"/>
      </w:pPr>
      <w:r>
        <w:t xml:space="preserve">5. Esquema de Seguridad, JWT y Blacklist</w:t>
      </w:r>
    </w:p>
    <w:bookmarkStart w:id="39" w:name="X3c7a5e4a4c2002112fddc32c552d13baf58ab7e"/>
    <w:p>
      <w:pPr>
        <w:pStyle w:val="Heading3"/>
      </w:pPr>
      <w:r>
        <w:t xml:space="preserve">Flujo de Verificación de Middleware (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aptionedFigure"/>
      </w:pPr>
      <w:r>
        <w:drawing>
          <wp:inline>
            <wp:extent cx="5334000" cy="2340932"/>
            <wp:effectExtent b="0" l="0" r="0" t="0"/>
            <wp:docPr descr="Diagrama" title="" id="37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7b186d9198631b1324e08ddb8a28f33c344bd75e1edf4f3424debb157d8dfb7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integración-entre-módulos-y-servicios"/>
    <w:p>
      <w:pPr>
        <w:pStyle w:val="Heading2"/>
      </w:pPr>
      <w:r>
        <w:t xml:space="preserve">6. Integración entre Módulos y Servicios</w:t>
      </w:r>
    </w:p>
    <w:bookmarkStart w:id="41" w:name="X7f9bdd5ec024760b03c4cdbab37611f016916b9"/>
    <w:p>
      <w:pPr>
        <w:pStyle w:val="Heading3"/>
      </w:pPr>
      <w:r>
        <w:t xml:space="preserve">Matriz de Dependencias entre Servicios (21 Módulos)</w:t>
      </w:r>
    </w:p>
    <w:p>
      <w:pPr>
        <w:pStyle w:val="SourceCode"/>
      </w:pPr>
      <w:r>
        <w:rPr>
          <w:rStyle w:val="VerbatimChar"/>
        </w:rPr>
        <w:t xml:space="preserve">[01: Autenticación &amp; Blacklist] ◄──── [15: Supervisión &amp; Auditoría] ◄──── [20: Seguimiento Directivo]</w:t>
      </w:r>
      <w:r>
        <w:br/>
      </w:r>
      <w:r>
        <w:rPr>
          <w:rStyle w:val="VerbatimChar"/>
        </w:rPr>
        <w:t xml:space="preserve">          ▲                                      │                                  │</w:t>
      </w:r>
      <w:r>
        <w:br/>
      </w:r>
      <w:r>
        <w:rPr>
          <w:rStyle w:val="VerbatimChar"/>
        </w:rPr>
        <w:t xml:space="preserve">          │                                      ▼                                  ▼</w:t>
      </w:r>
      <w:r>
        <w:br/>
      </w:r>
      <w:r>
        <w:rPr>
          <w:rStyle w:val="VerbatimChar"/>
        </w:rPr>
        <w:t xml:space="preserve">[21: Flujo Correos &amp; OTP] ──────────► [06: Matrículas] ────────────────► [18: Traslados]</w:t>
      </w:r>
      <w:r>
        <w:br/>
      </w:r>
      <w:r>
        <w:rPr>
          <w:rStyle w:val="VerbatimChar"/>
        </w:rPr>
        <w:t xml:space="preserve">          │                                      │                                  │</w:t>
      </w:r>
      <w:r>
        <w:br/>
      </w:r>
      <w:r>
        <w:rPr>
          <w:rStyle w:val="VerbatimChar"/>
        </w:rPr>
        <w:t xml:space="preserve">          ▼                                      ▼                                  ▼</w:t>
      </w:r>
      <w:r>
        <w:br/>
      </w:r>
      <w:r>
        <w:rPr>
          <w:rStyle w:val="VerbatimChar"/>
        </w:rPr>
        <w:t xml:space="preserve">[02: Colegios] ─────────────────────► [07: Estudiantes] ───────────────► [17: Padres de Familia]</w:t>
      </w:r>
      <w:r>
        <w:br/>
      </w:r>
      <w:r>
        <w:rPr>
          <w:rStyle w:val="VerbatimChar"/>
        </w:rPr>
        <w:t xml:space="preserve">          │                                      │                                  │</w:t>
      </w:r>
      <w:r>
        <w:br/>
      </w:r>
      <w:r>
        <w:rPr>
          <w:rStyle w:val="VerbatimChar"/>
        </w:rPr>
        <w:t xml:space="preserve">          ▼                                      ▼                                  ▼</w:t>
      </w:r>
      <w:r>
        <w:br/>
      </w:r>
      <w:r>
        <w:rPr>
          <w:rStyle w:val="VerbatimChar"/>
        </w:rPr>
        <w:t xml:space="preserve">[04: Estructura Escolar] ───────────► [05: Docentes] ──────────────────► [13: Asistencia]</w:t>
      </w:r>
      <w:r>
        <w:br/>
      </w:r>
      <w:r>
        <w:rPr>
          <w:rStyle w:val="VerbatimChar"/>
        </w:rPr>
        <w:t xml:space="preserve">          │                                      │                                  │</w:t>
      </w:r>
      <w:r>
        <w:br/>
      </w:r>
      <w:r>
        <w:rPr>
          <w:rStyle w:val="VerbatimChar"/>
        </w:rPr>
        <w:t xml:space="preserve">          ▼                                      ▼                                  ▼</w:t>
      </w:r>
      <w:r>
        <w:br/>
      </w:r>
      <w:r>
        <w:rPr>
          <w:rStyle w:val="VerbatimChar"/>
        </w:rPr>
        <w:t xml:space="preserve">[10: Catálogo DBA] ─────────────────► [09: Competencias] ──────────────► [11: Calificaciones]</w:t>
      </w:r>
      <w:r>
        <w:br/>
      </w:r>
      <w:r>
        <w:rPr>
          <w:rStyle w:val="VerbatimChar"/>
        </w:rPr>
        <w:t xml:space="preserve">          │                                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                           ▼</w:t>
      </w:r>
      <w:r>
        <w:br/>
      </w:r>
      <w:r>
        <w:rPr>
          <w:rStyle w:val="VerbatimChar"/>
        </w:rPr>
        <w:t xml:space="preserve">[08: Configuración Académica] ─────────────────────────────────────────► [12: Observaciones]</w:t>
      </w:r>
      <w:r>
        <w:br/>
      </w:r>
      <w:r>
        <w:rPr>
          <w:rStyle w:val="VerbatimChar"/>
        </w:rPr>
        <w:t xml:space="preserve">          │                                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                           ▼</w:t>
      </w:r>
      <w:r>
        <w:br/>
      </w:r>
      <w:r>
        <w:rPr>
          <w:rStyle w:val="VerbatimChar"/>
        </w:rPr>
        <w:t xml:space="preserve">[19: Seguimiento &amp; Promoción] ◄──────────────────────────────────────── [14: Cierre &amp; Boletines PDF]</w:t>
      </w:r>
      <w:r>
        <w:br/>
      </w:r>
      <w:r>
        <w:rPr>
          <w:rStyle w:val="VerbatimChar"/>
        </w:rPr>
        <w:t xml:space="preserve">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[16: Soporte &amp; Tickets]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venciones-nomenclatura-y-uuids"/>
    <w:p>
      <w:pPr>
        <w:pStyle w:val="Heading2"/>
      </w:pPr>
      <w:r>
        <w:t xml:space="preserve">7. Convenciones, Nomenclatura y UUIDs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Uso de UUIDv4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sync_uuid</w:t>
      </w:r>
      <w:r>
        <w:t xml:space="preserve">: Agrupación de competencias en cursos paralelos.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token_seguimiento</w:t>
      </w:r>
      <w:r>
        <w:t xml:space="preserve">: Acceso seguro a inscripciones y traslados públicos sin credenciales.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Nomenclatura de Archivos en Frontend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Vistas: PascalCase (ej.</w:t>
      </w:r>
      <w:r>
        <w:t xml:space="preserve"> </w:t>
      </w:r>
      <w:r>
        <w:rPr>
          <w:rStyle w:val="VerbatimChar"/>
        </w:rPr>
        <w:t xml:space="preserve">TeacherGrades.vue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SupervisionManagement.vue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Stores: camelCase (ej.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academicYear.ts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Nomenclatura en Backend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Controladores: camelCase terminados en Controller (ej.</w:t>
      </w:r>
      <w:r>
        <w:t xml:space="preserve"> </w:t>
      </w:r>
      <w:r>
        <w:rPr>
          <w:rStyle w:val="VerbatimChar"/>
        </w:rPr>
        <w:t xml:space="preserve">authController.ts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gradingController.ts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Esquemas DTO: camelCase terminados en Schema (ej.</w:t>
      </w:r>
      <w:r>
        <w:t xml:space="preserve"> </w:t>
      </w:r>
      <w:r>
        <w:rPr>
          <w:rStyle w:val="VerbatimChar"/>
        </w:rPr>
        <w:t xml:space="preserve">teacherSchema.ts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matriculaSchema.ts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Rutas: minúsculas separadas por puntos (ej.</w:t>
      </w:r>
      <w:r>
        <w:t xml:space="preserve"> </w:t>
      </w:r>
      <w:r>
        <w:rPr>
          <w:rStyle w:val="VerbatimChar"/>
        </w:rPr>
        <w:t xml:space="preserve">auth.routes.ts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academicAdmin.routes.ts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Patrón de Query Builder (Kysely)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Utilizar siempre</w:t>
      </w:r>
      <w:r>
        <w:t xml:space="preserve"> </w:t>
      </w:r>
      <w:r>
        <w:rPr>
          <w:rStyle w:val="VerbatimChar"/>
        </w:rPr>
        <w:t xml:space="preserve">db.selectFrom(...)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db.insertInto(...)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db.updateTable(...)</w:t>
      </w:r>
      <w:r>
        <w:t xml:space="preserve"> </w:t>
      </w:r>
      <w:r>
        <w:t xml:space="preserve">evitando sentencias SQL sin tipar.</w:t>
      </w:r>
    </w:p>
    <w:p>
      <w:r>
        <w:pict>
          <v:rect style="width:0;height:1.5pt" o:hralign="center" o:hrstd="t" o:hr="t"/>
        </w:pict>
      </w:r>
    </w:p>
    <w:bookmarkEnd w:id="43"/>
    <w:bookmarkStart w:id="44" w:name="stack-tecnológico-y-justificaciones"/>
    <w:p>
      <w:pPr>
        <w:pStyle w:val="Heading2"/>
      </w:pPr>
      <w:r>
        <w:t xml:space="preserve">8. Stack Tecnológico y Justificaciones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Vue 3 + TypeScript (Vite)</w:t>
      </w:r>
      <w:r>
        <w:t xml:space="preserve">: Reactividad nativa con Composition API y verificación de tipos en tiempo de compilación.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Pinia</w:t>
      </w:r>
      <w:r>
        <w:t xml:space="preserve">: Gestión de estado centralizada para autenticación, roles, año lectivo seleccionado y modo seguimiento.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Express.js</w:t>
      </w:r>
      <w:r>
        <w:t xml:space="preserve">: Framework minimalista sin sobrecarga para construir APIs REST orientadas a micro-respuestas JSON.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Kysely</w:t>
      </w:r>
      <w:r>
        <w:t xml:space="preserve">: Query Builder SQL fuertemente tipado que enlaza directamente con los tipos de PostgreSQL (</w:t>
      </w:r>
      <w:r>
        <w:rPr>
          <w:rStyle w:val="VerbatimChar"/>
        </w:rPr>
        <w:t xml:space="preserve">db.types.ts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Zod</w:t>
      </w:r>
      <w:r>
        <w:t xml:space="preserve">: Validación declarativa y sanitización estricta de esquemas en todas las peticiones mutativas.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PostgreSQL 14+</w:t>
      </w:r>
      <w:r>
        <w:t xml:space="preserve">: Motor de base de datos relacional robusto con soporte JSONB nativo y triggers en PL/pgSQL.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Nodemailer</w:t>
      </w:r>
      <w:r>
        <w:t xml:space="preserve">: Motor de mensajería SMTP para correos transaccionales y códigos OTP de 6 dígitos.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HTML2PDF / PDFKit</w:t>
      </w:r>
      <w:r>
        <w:t xml:space="preserve">: Generación de boletines oficiales PDF con fidelidad tipográfica.</w:t>
      </w:r>
    </w:p>
    <w:p>
      <w:r>
        <w:pict>
          <v:rect style="width:0;height:1.5pt" o:hralign="center" o:hrstd="t" o:hr="t"/>
        </w:pict>
      </w:r>
    </w:p>
    <w:bookmarkEnd w:id="44"/>
    <w:bookmarkStart w:id="48" w:name="Xf473e41735e4e49169f4ef2c4ece673072fb54f"/>
    <w:p>
      <w:pPr>
        <w:pStyle w:val="Heading2"/>
      </w:pPr>
      <w:r>
        <w:t xml:space="preserve">9. Guía de Instalación y Configuración Local</w:t>
      </w:r>
    </w:p>
    <w:bookmarkStart w:id="45" w:name="clonar-e-instalar-dependencias"/>
    <w:p>
      <w:pPr>
        <w:pStyle w:val="Heading3"/>
      </w:pPr>
      <w:r>
        <w:t xml:space="preserve">1. Clonar e Instalar Dependencias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https://github.com/DanExl24/AcademiaNeiva.git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segundoProyecto</w:t>
      </w:r>
      <w:r>
        <w:br/>
      </w:r>
      <w:r>
        <w:br/>
      </w:r>
      <w:r>
        <w:rPr>
          <w:rStyle w:val="CommentTok"/>
        </w:rPr>
        <w:t xml:space="preserve"># Instalar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Instalar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45"/>
    <w:bookmarkStart w:id="46" w:name="configurar-base-de-datos-postgresql"/>
    <w:p>
      <w:pPr>
        <w:pStyle w:val="Heading3"/>
      </w:pPr>
      <w:r>
        <w:t xml:space="preserve">2. Configurar Base de Datos PostgreSQL</w:t>
      </w:r>
    </w:p>
    <w:p>
      <w:pPr>
        <w:pStyle w:val="SourceCode"/>
      </w:pPr>
      <w:r>
        <w:rPr>
          <w:rStyle w:val="CommentTok"/>
        </w:rPr>
        <w:t xml:space="preserve"># Crear base de datos local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academianeiva</w:t>
      </w:r>
      <w:r>
        <w:br/>
      </w:r>
      <w:r>
        <w:br/>
      </w:r>
      <w:r>
        <w:rPr>
          <w:rStyle w:val="CommentTok"/>
        </w:rPr>
        <w:t xml:space="preserve"># Importar el esquema e inyectar triggers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academianeiva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guides/AcademiaNeivaBD.sql</w:t>
      </w:r>
    </w:p>
    <w:bookmarkEnd w:id="46"/>
    <w:bookmarkStart w:id="47" w:name="iniciar-servidores-de-desarrollo"/>
    <w:p>
      <w:pPr>
        <w:pStyle w:val="Heading3"/>
      </w:pPr>
      <w:r>
        <w:t xml:space="preserve">3. Iniciar Servidores de Desarrollo</w:t>
      </w:r>
    </w:p>
    <w:p>
      <w:pPr>
        <w:pStyle w:val="SourceCode"/>
      </w:pPr>
      <w:r>
        <w:rPr>
          <w:rStyle w:val="CommentTok"/>
        </w:rPr>
        <w:t xml:space="preserve"># Backend (en carpeta /backend)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Frontend (en carpeta /frontend)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b4b3bdf7fc46a3d411bb6b444d74fe27d447f21"/>
    <w:p>
      <w:pPr>
        <w:pStyle w:val="Heading2"/>
      </w:pPr>
      <w:r>
        <w:t xml:space="preserve">10. Especificaciones para Despliegue en Producción</w:t>
      </w:r>
    </w:p>
    <w:bookmarkStart w:id="49" w:name="archivo-de-variables-de-entorno-.env"/>
    <w:p>
      <w:pPr>
        <w:pStyle w:val="Heading3"/>
      </w:pPr>
      <w:r>
        <w:t xml:space="preserve">Archivo de Variables de Entorno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DATABASE_URL=postgres://usuario:password_seguro@localhost:5432/academianeiva</w:t>
      </w:r>
      <w:r>
        <w:br/>
      </w:r>
      <w:r>
        <w:rPr>
          <w:rStyle w:val="VerbatimChar"/>
        </w:rPr>
        <w:t xml:space="preserve">JWT_SECRET=super_secret_key_firma_tokens_academianeiva_2026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SMTP_USER=notificaciones@academianeiva.edu.co</w:t>
      </w:r>
      <w:r>
        <w:br/>
      </w:r>
      <w:r>
        <w:rPr>
          <w:rStyle w:val="VerbatimChar"/>
        </w:rPr>
        <w:t xml:space="preserve">SMTP_PASS=app_password_segura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7715048092ee8935930dc074bfee3990f6b5820"/>
    <w:p>
      <w:pPr>
        <w:pStyle w:val="Heading2"/>
      </w:pPr>
      <w:r>
        <w:t xml:space="preserve">11. Guía de Onboarding para Nuevos Desarrolladores</w:t>
      </w:r>
    </w:p>
    <w:bookmarkStart w:id="52" w:name="X9598263705d2d8080f10249619d13d3e105da84"/>
    <w:p>
      <w:pPr>
        <w:pStyle w:val="Heading3"/>
      </w:pPr>
      <w:r>
        <w:t xml:space="preserve">Pasos Recomendados para Entender el Código (Día 1 a Día 3)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1 — Dominio y Esquema:</w:t>
      </w:r>
      <w:r>
        <w:t xml:space="preserve"> </w:t>
      </w:r>
      <w:r>
        <w:t xml:space="preserve">Lee el</w:t>
      </w:r>
      <w:r>
        <w:t xml:space="preserve"> </w:t>
      </w:r>
      <w:hyperlink r:id="rId51">
        <w:r>
          <w:rPr>
            <w:rStyle w:val="Hyperlink"/>
          </w:rPr>
          <w:t xml:space="preserve">Documento Funcional Maestro</w:t>
        </w:r>
      </w:hyperlink>
      <w:r>
        <w:t xml:space="preserve"> </w:t>
      </w:r>
      <w:r>
        <w:t xml:space="preserve">para comprender los 18 conceptos escolares (DBA, Periodos, Cursos Paralelos, OTP). Revisa el modelo relacional en</w:t>
      </w:r>
      <w:r>
        <w:t xml:space="preserve"> </w:t>
      </w:r>
      <w:r>
        <w:rPr>
          <w:rStyle w:val="VerbatimChar"/>
        </w:rPr>
        <w:t xml:space="preserve">guides/AcademiaNeivaBD.sql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backend/src/types/db.types.ts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2 — Autenticación, Zod y Kysely:</w:t>
      </w:r>
      <w:r>
        <w:t xml:space="preserve"> </w:t>
      </w:r>
      <w:r>
        <w:t xml:space="preserve">Examina</w:t>
      </w:r>
      <w:r>
        <w:t xml:space="preserve"> </w:t>
      </w:r>
      <w:r>
        <w:rPr>
          <w:rStyle w:val="VerbatimChar"/>
        </w:rPr>
        <w:t xml:space="preserve">backend/src/middleware/authMiddleware.ts</w:t>
      </w:r>
      <w:r>
        <w:t xml:space="preserve"> </w:t>
      </w:r>
      <w:r>
        <w:t xml:space="preserve">y comprende la inyección de</w:t>
      </w:r>
      <w:r>
        <w:t xml:space="preserve"> </w:t>
      </w:r>
      <w:r>
        <w:rPr>
          <w:rStyle w:val="VerbatimChar"/>
        </w:rPr>
        <w:t xml:space="preserve">req.user.schoolId</w:t>
      </w:r>
      <w:r>
        <w:t xml:space="preserve">, la validación de esquemas con Zod y la construcción de consultas con Kysely (</w:t>
      </w:r>
      <w:r>
        <w:rPr>
          <w:rStyle w:val="VerbatimChar"/>
        </w:rPr>
        <w:t xml:space="preserve">backend/src/config/kysely.ts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3 — Flujo de Calificaciones y Periodos:</w:t>
      </w:r>
      <w:r>
        <w:t xml:space="preserve"> </w:t>
      </w:r>
      <w:r>
        <w:t xml:space="preserve">Estudia</w:t>
      </w:r>
      <w:r>
        <w:t xml:space="preserve"> </w:t>
      </w:r>
      <w:r>
        <w:rPr>
          <w:rStyle w:val="VerbatimChar"/>
        </w:rPr>
        <w:t xml:space="preserve">backend/src/controllers/gradingController.ts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backend/src/utils/periodHelpers.ts</w:t>
      </w:r>
      <w:r>
        <w:t xml:space="preserve"> </w:t>
      </w:r>
      <w:r>
        <w:t xml:space="preserve">para entender la protección de doble capa contra periodos cerrados.</w:t>
      </w:r>
    </w:p>
    <w:bookmarkEnd w:id="52"/>
    <w:bookmarkStart w:id="53" w:name="X3b6a236ba24cd91d7dcbf979bf8a85dbe21e433"/>
    <w:p>
      <w:pPr>
        <w:pStyle w:val="Heading3"/>
      </w:pPr>
      <w:r>
        <w:t xml:space="preserve">¿Cómo agregar un nuevo módulo o funcionalidad siguiendo las convenciones?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Base de Datos</w:t>
      </w:r>
      <w:r>
        <w:t xml:space="preserve">: Define la tabla en PostgreSQL asegurando incluir la columna</w:t>
      </w:r>
      <w:r>
        <w:t xml:space="preserve"> </w:t>
      </w:r>
      <w:r>
        <w:rPr>
          <w:rStyle w:val="VerbatimChar"/>
        </w:rPr>
        <w:t xml:space="preserve">id_colegio INT NOT NULL REFERENCES colegio(id_colegio)</w:t>
      </w:r>
      <w:r>
        <w:t xml:space="preserve"> </w:t>
      </w:r>
      <w:r>
        <w:t xml:space="preserve">y actualiza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Backend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Define el esquema Zod en</w:t>
      </w:r>
      <w:r>
        <w:t xml:space="preserve"> </w:t>
      </w:r>
      <w:r>
        <w:rPr>
          <w:rStyle w:val="VerbatimChar"/>
        </w:rPr>
        <w:t xml:space="preserve">backend/src/dtos/nuevoModuloSchema.ts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Crea las rutas en</w:t>
      </w:r>
      <w:r>
        <w:t xml:space="preserve"> </w:t>
      </w:r>
      <w:r>
        <w:rPr>
          <w:rStyle w:val="VerbatimChar"/>
        </w:rPr>
        <w:t xml:space="preserve">backend/src/routes/nuevoModulo.routes.ts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Implementa los métodos en</w:t>
      </w:r>
      <w:r>
        <w:t xml:space="preserve"> </w:t>
      </w:r>
      <w:r>
        <w:rPr>
          <w:rStyle w:val="VerbatimChar"/>
        </w:rPr>
        <w:t xml:space="preserve">backend/src/controllers/nuevoModuloController.ts</w:t>
      </w:r>
      <w:r>
        <w:t xml:space="preserve"> </w:t>
      </w:r>
      <w:r>
        <w:t xml:space="preserve">usando Kysely (</w:t>
      </w:r>
      <w:r>
        <w:rPr>
          <w:rStyle w:val="VerbatimChar"/>
        </w:rPr>
        <w:t xml:space="preserve">db.selectFrom(...)</w:t>
      </w:r>
      <w:r>
        <w:t xml:space="preserve">).</w:t>
      </w:r>
    </w:p>
    <w:p>
      <w:pPr>
        <w:pStyle w:val="Compact"/>
        <w:numPr>
          <w:ilvl w:val="1"/>
          <w:numId w:val="1033"/>
        </w:numPr>
      </w:pPr>
      <w:r>
        <w:t xml:space="preserve">Inyecta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en todas las rutas protegidas.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Frontend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Crea la vista Vue en</w:t>
      </w:r>
      <w:r>
        <w:t xml:space="preserve"> </w:t>
      </w:r>
      <w:r>
        <w:rPr>
          <w:rStyle w:val="VerbatimChar"/>
        </w:rPr>
        <w:t xml:space="preserve">frontend/src/views/rol/NuevaVista.vue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Agrega la ruta en</w:t>
      </w:r>
      <w:r>
        <w:t xml:space="preserve"> </w:t>
      </w:r>
      <w:r>
        <w:rPr>
          <w:rStyle w:val="VerbatimChar"/>
        </w:rPr>
        <w:t xml:space="preserve">frontend/src/router/index.ts</w:t>
      </w:r>
      <w:r>
        <w:t xml:space="preserve"> </w:t>
      </w:r>
      <w:r>
        <w:t xml:space="preserve">especificando</w:t>
      </w:r>
      <w:r>
        <w:t xml:space="preserve"> </w:t>
      </w:r>
      <w:r>
        <w:rPr>
          <w:rStyle w:val="VerbatimChar"/>
        </w:rPr>
        <w:t xml:space="preserve">meta: { requiresAuth: true, roles: ['directivo'] }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Documentación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Crea la carpeta</w:t>
      </w:r>
      <w:r>
        <w:t xml:space="preserve"> </w:t>
      </w:r>
      <w:r>
        <w:rPr>
          <w:rStyle w:val="VerbatimChar"/>
        </w:rPr>
        <w:t xml:space="preserve">guides/modules/XX_nuevo_modulo/</w:t>
      </w:r>
      <w:r>
        <w:t xml:space="preserve"> </w:t>
      </w:r>
      <w:r>
        <w:t xml:space="preserve">con sus respectivos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nuevo_modulo.md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Registra el nuevo módulo en</w:t>
      </w:r>
      <w:r>
        <w:t xml:space="preserve"> </w:t>
      </w:r>
      <w:r>
        <w:rPr>
          <w:rStyle w:val="VerbatimChar"/>
        </w:rPr>
        <w:t xml:space="preserve">guides/modules/mapa_documentacion.md</w:t>
      </w:r>
      <w:r>
        <w:t xml:space="preserve"> </w:t>
      </w:r>
      <w:r>
        <w:t xml:space="preserve">y en los documentos maestros.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glosario-técnico-y-referencias"/>
    <w:p>
      <w:pPr>
        <w:pStyle w:val="Heading2"/>
      </w:pPr>
      <w:r>
        <w:t xml:space="preserve">12. Glosario Técnico y Referencias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ADR</w:t>
      </w:r>
      <w:r>
        <w:t xml:space="preserve">: Architecture Decision Record (Registro de Decisiones Arquitectónicas).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Kysely</w:t>
      </w:r>
      <w:r>
        <w:t xml:space="preserve">: Constructor de consultas SQL fuertemente tipado con autocompletado y validación estática en TypeScript.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Zod</w:t>
      </w:r>
      <w:r>
        <w:t xml:space="preserve">: Librería de validación de esquemas y tipos en runtime con inferencia estática para TypeScript.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JTI</w:t>
      </w:r>
      <w:r>
        <w:t xml:space="preserve">: JWT ID (Identificador único de token usado para revocación en blacklist).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SPA</w:t>
      </w:r>
      <w:r>
        <w:t xml:space="preserve">: Single Page Application (Aplicación de Página Única).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OTP</w:t>
      </w:r>
      <w:r>
        <w:t xml:space="preserve">: One-Time Password de 6 dígitos numéricos para validación transaccional por correo electrónico.</w:t>
      </w:r>
    </w:p>
    <w:p>
      <w:r>
        <w:pict>
          <v:rect style="width:0;height:1.5pt" o:hralign="center" o:hrstd="t" o:hr="t"/>
        </w:pict>
      </w:r>
    </w:p>
    <w:bookmarkStart w:id="58" w:name="X7217a625dacc9eff5c2fdcdd99a00c608378723"/>
    <w:p>
      <w:pPr>
        <w:pStyle w:val="Heading3"/>
      </w:pPr>
      <w:r>
        <w:t xml:space="preserve">Matriz de Enlaces a la Documentación Modular Completa</w:t>
      </w:r>
    </w:p>
    <w:p>
      <w:pPr>
        <w:pStyle w:val="Compact"/>
        <w:numPr>
          <w:ilvl w:val="0"/>
          <w:numId w:val="1037"/>
        </w:numPr>
      </w:pPr>
      <w:r>
        <w:t xml:space="preserve">🗺️</w:t>
      </w:r>
      <w:r>
        <w:t xml:space="preserve"> </w:t>
      </w:r>
      <w:hyperlink r:id="rId55">
        <w:r>
          <w:rPr>
            <w:rStyle w:val="Hyperlink"/>
            <w:b/>
            <w:bCs/>
          </w:rPr>
          <w:t xml:space="preserve">Mapa General de Módulos (guides/modules/mapa_documentacion.md)</w:t>
        </w:r>
      </w:hyperlink>
    </w:p>
    <w:p>
      <w:pPr>
        <w:pStyle w:val="Compact"/>
        <w:numPr>
          <w:ilvl w:val="0"/>
          <w:numId w:val="1037"/>
        </w:numPr>
      </w:pPr>
      <w:r>
        <w:t xml:space="preserve">📄</w:t>
      </w:r>
      <w:r>
        <w:t xml:space="preserve"> </w:t>
      </w:r>
      <w:hyperlink r:id="rId56">
        <w:r>
          <w:rPr>
            <w:rStyle w:val="Hyperlink"/>
            <w:b/>
            <w:bCs/>
          </w:rPr>
          <w:t xml:space="preserve">Documentación Técnica Integral (guides/AcademiaNeiva_Documentacion_Tecnica_Integral.md)</w:t>
        </w:r>
      </w:hyperlink>
    </w:p>
    <w:p>
      <w:pPr>
        <w:pStyle w:val="Compact"/>
        <w:numPr>
          <w:ilvl w:val="0"/>
          <w:numId w:val="1037"/>
        </w:numPr>
      </w:pPr>
      <w:r>
        <w:t xml:space="preserve">📘</w:t>
      </w:r>
      <w:r>
        <w:t xml:space="preserve"> </w:t>
      </w:r>
      <w:hyperlink r:id="rId51">
        <w:r>
          <w:rPr>
            <w:rStyle w:val="Hyperlink"/>
            <w:b/>
            <w:bCs/>
          </w:rPr>
          <w:t xml:space="preserve">Manual Funcional Maestro (guides/AcademiaNeiva_Documento_Funcional.md)</w:t>
        </w:r>
      </w:hyperlink>
    </w:p>
    <w:p>
      <w:pPr>
        <w:pStyle w:val="Compact"/>
        <w:numPr>
          <w:ilvl w:val="0"/>
          <w:numId w:val="1037"/>
        </w:numPr>
      </w:pPr>
      <w:r>
        <w:t xml:space="preserve">🌐</w:t>
      </w:r>
      <w:r>
        <w:t xml:space="preserve"> </w:t>
      </w:r>
      <w:hyperlink r:id="rId57">
        <w:r>
          <w:rPr>
            <w:rStyle w:val="Hyperlink"/>
            <w:b/>
            <w:bCs/>
          </w:rPr>
          <w:t xml:space="preserve">Reglas Generales y Transversales (guides/reglas_negocio_generales.md)</w:t>
        </w:r>
      </w:hyperlink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36" Target="media/rId36.png" /><Relationship Type="http://schemas.openxmlformats.org/officeDocument/2006/relationships/hyperlink" Id="rId56" Target="file:///c:/Users/alejo/Downloads/segundoProyecto/guides/AcademiaNeiva_Documentacion_Tecnica_Integral.md" TargetMode="External" /><Relationship Type="http://schemas.openxmlformats.org/officeDocument/2006/relationships/hyperlink" Id="rId51" Target="file:///c:/Users/alejo/Downloads/segundoProyecto/guides/AcademiaNeiva_Documento_Funcional.md" TargetMode="External" /><Relationship Type="http://schemas.openxmlformats.org/officeDocument/2006/relationships/hyperlink" Id="rId55" Target="file:///c:/Users/alejo/Downloads/segundoProyecto/guides/modules/mapa_documentacion.md" TargetMode="External" /><Relationship Type="http://schemas.openxmlformats.org/officeDocument/2006/relationships/hyperlink" Id="rId57" Target="file:///c:/Users/alejo/Downloads/segundoProyecto/guides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file:///c:/Users/alejo/Downloads/segundoProyecto/guides/AcademiaNeiva_Documentacion_Tecnica_Integral.md" TargetMode="External" /><Relationship Type="http://schemas.openxmlformats.org/officeDocument/2006/relationships/hyperlink" Id="rId51" Target="file:///c:/Users/alejo/Downloads/segundoProyecto/guides/AcademiaNeiva_Documento_Funcional.md" TargetMode="External" /><Relationship Type="http://schemas.openxmlformats.org/officeDocument/2006/relationships/hyperlink" Id="rId55" Target="file:///c:/Users/alejo/Downloads/segundoProyecto/guides/modules/mapa_documentacion.md" TargetMode="External" /><Relationship Type="http://schemas.openxmlformats.org/officeDocument/2006/relationships/hyperlink" Id="rId57" Target="file:///c:/Users/alejo/Downloads/segundoProyecto/guides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2026-08-17T23:16:59Z</dcterms:created>
  <dcterms:modified xsi:type="dcterms:W3CDTF">2026-08-17T23:16:59Z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