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d6a2d390f4fd3025d1eeec959544ec9897f990"/>
    <w:p>
      <w:pPr>
        <w:pStyle w:val="Heading1"/>
      </w:pPr>
      <w:r>
        <w:t xml:space="preserve">Especificación de Requisitos de Software (SRS) — IEEE Std 830-1998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AcademiaNeiva — Sistema de Gestión Académica Institucional Multitenant</w:t>
      </w:r>
      <w:r>
        <w:br/>
      </w:r>
      <w:r>
        <w:rPr>
          <w:b/>
          <w:bCs/>
        </w:rPr>
        <w:t xml:space="preserve">Revisión:</w:t>
      </w:r>
      <w:r>
        <w:t xml:space="preserve"> </w:t>
      </w:r>
      <w:r>
        <w:t xml:space="preserve">2.5.0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Documento Oficial de Especificación de Requisitos conforme a IEEE Std 830-1998</w:t>
      </w:r>
    </w:p>
    <w:p>
      <w:r>
        <w:pict>
          <v:rect style="width:0;height:1.5pt" o:hralign="center" o:hrstd="t" o:hr="t"/>
        </w:pict>
      </w:r>
    </w:p>
    <w:bookmarkEnd w:id="9"/>
    <w:bookmarkStart w:id="10" w:name="ficha-del-documento"/>
    <w:p>
      <w:pPr>
        <w:pStyle w:val="Heading1"/>
      </w:pPr>
      <w:r>
        <w:t xml:space="preserve">Ficha del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 de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Validación</w:t>
            </w:r>
          </w:p>
        </w:tc>
        <w:tc>
          <w:tcPr/>
          <w:p>
            <w:pPr>
              <w:pStyle w:val="Compact"/>
            </w:pPr>
            <w:r>
              <w:t xml:space="preserve">16 de Agosto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Revisión</w:t>
            </w:r>
          </w:p>
        </w:tc>
        <w:tc>
          <w:tcPr/>
          <w:p>
            <w:pPr>
              <w:pStyle w:val="Compact"/>
            </w:pPr>
            <w:r>
              <w:t xml:space="preserve">2.5.0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Autor(es)</w:t>
            </w:r>
          </w:p>
        </w:tc>
        <w:tc>
          <w:tcPr/>
          <w:p>
            <w:pPr>
              <w:pStyle w:val="Compact"/>
            </w:pPr>
            <w:r>
              <w:t xml:space="preserve">Arquitecto de Software Senior &amp; Technical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Verificado por</w:t>
            </w:r>
          </w:p>
        </w:tc>
        <w:tc>
          <w:tcPr/>
          <w:p>
            <w:pPr>
              <w:pStyle w:val="Compact"/>
            </w:pPr>
            <w:r>
              <w:t xml:space="preserve">Departamento de Aseguramiento de Calidad (QA)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Validado por Cliente</w:t>
            </w:r>
          </w:p>
        </w:tc>
        <w:tc>
          <w:tcPr/>
          <w:p>
            <w:pPr>
              <w:pStyle w:val="Compact"/>
            </w:pPr>
            <w:r>
              <w:t xml:space="preserve">Representante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Validado por Suministradora</w:t>
            </w:r>
          </w:p>
        </w:tc>
        <w:tc>
          <w:tcPr/>
          <w:p>
            <w:pPr>
              <w:pStyle w:val="Compact"/>
            </w:pPr>
            <w:r>
              <w:t xml:space="preserve">Equipo de Ingeniería y Arquitectura de AcademiaNeiva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2" w:name="introducción"/>
    <w:p>
      <w:pPr>
        <w:pStyle w:val="Heading1"/>
      </w:pPr>
      <w:r>
        <w:t xml:space="preserve">1. Introducción</w:t>
      </w:r>
    </w:p>
    <w:p>
      <w:pPr>
        <w:pStyle w:val="BlockText"/>
      </w:pPr>
      <w:r>
        <w:rPr>
          <w:b/>
          <w:bCs/>
        </w:rPr>
        <w:t xml:space="preserve">Objetivo de esta sección:</w:t>
      </w:r>
      <w:r>
        <w:br/>
      </w:r>
      <w:r>
        <w:t xml:space="preserve">Proporcionar una vista general completa del documento SRS IEEE Std 830-1998, delimitando el propósito, el alcance del sistema, las definiciones del dominio, las fuentes de información utilizadas y la organización del documento.</w:t>
      </w:r>
    </w:p>
    <w:p>
      <w:pPr>
        <w:pStyle w:val="BlockText"/>
      </w:pPr>
      <w:r>
        <w:rPr>
          <w:b/>
          <w:bCs/>
        </w:rPr>
        <w:t xml:space="preserve">Fuentes de información utilizadas:</w:t>
      </w:r>
      <w:r>
        <w:br/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guides/AcademiaNeiva_Documento_Funcional.md</w:t>
        </w:r>
      </w:hyperlink>
      <w:r>
        <w:br/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guides/AcademiaNeiva_Documento_Tecnico.md</w:t>
        </w:r>
      </w:hyperlink>
      <w:r>
        <w:br/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guides/AcademiaNeiva_Documentacion_Tecnica_Integral.md</w:t>
        </w:r>
      </w:hyperlink>
      <w:r>
        <w:br/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guides/modules/mapa_documentacion.md</w:t>
        </w:r>
      </w:hyperlink>
    </w:p>
    <w:bookmarkStart w:id="15" w:name="propósito"/>
    <w:p>
      <w:pPr>
        <w:pStyle w:val="Heading2"/>
      </w:pPr>
      <w:r>
        <w:t xml:space="preserve">1.1 Propósito</w:t>
      </w:r>
    </w:p>
    <w:p>
      <w:pPr>
        <w:pStyle w:val="FirstParagraph"/>
      </w:pPr>
      <w:r>
        <w:t xml:space="preserve">El propósito de este documento es especificar los requisitos funcionales y no funcionales del sistema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de manera rigurosa conforme al estándar IEEE Std 830-1998. Está dirigido a desarrolladores de software, ingenieros de pruebas, coordinadores académicos, rectores y auditores externos que requieran validar el cumplimiento contractual y técnico del software.</w:t>
      </w:r>
    </w:p>
    <w:bookmarkEnd w:id="15"/>
    <w:bookmarkStart w:id="16" w:name="alcance"/>
    <w:p>
      <w:pPr>
        <w:pStyle w:val="Heading2"/>
      </w:pPr>
      <w:r>
        <w:t xml:space="preserve">1.2 Alcance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es un software de gestión académica en la nube bajo modelo Multi-Tenant (Multi-Colegio). El sistema abarca los siguientes 21 procesos institucionales:</w:t>
      </w:r>
      <w:r>
        <w:t xml:space="preserve"> </w:t>
      </w:r>
      <w:r>
        <w:t xml:space="preserve">1. Autenticación unificada, roles dinámicos y revocación de tokens mediante lista negra.</w:t>
      </w:r>
      <w:r>
        <w:t xml:space="preserve"> </w:t>
      </w:r>
      <w:r>
        <w:t xml:space="preserve">2. Gestión multi-inquilino de colegios con personalización de identidad visual.</w:t>
      </w:r>
      <w:r>
        <w:t xml:space="preserve"> </w:t>
      </w:r>
      <w:r>
        <w:t xml:space="preserve">3. Gobierno de directivos, asignación de sedes y trazabilidad de credenciales por ticket.</w:t>
      </w:r>
      <w:r>
        <w:t xml:space="preserve"> </w:t>
      </w:r>
      <w:r>
        <w:t xml:space="preserve">4. Parametrización de estructura escolar (niveles, grados, salones con cupos y asignaturas).</w:t>
      </w:r>
      <w:r>
        <w:t xml:space="preserve"> </w:t>
      </w:r>
      <w:r>
        <w:t xml:space="preserve">5. Gestión de docentes, captura de datos telefónicos y asignación académica (</w:t>
      </w:r>
      <w:r>
        <w:rPr>
          <w:rStyle w:val="VerbatimChar"/>
        </w:rPr>
        <w:t xml:space="preserve">detalle_grados</w:t>
      </w:r>
      <w:r>
        <w:t xml:space="preserve">).</w:t>
      </w:r>
      <w:r>
        <w:t xml:space="preserve"> </w:t>
      </w:r>
      <w:r>
        <w:t xml:space="preserve">6. Matrícula e inscripción pública con verificación previa de correo por OTP y validación documental.</w:t>
      </w:r>
      <w:r>
        <w:t xml:space="preserve"> </w:t>
      </w:r>
      <w:r>
        <w:t xml:space="preserve">7. Ciclo de vida del estudiante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) y suspensiones automáticas.</w:t>
      </w:r>
      <w:r>
        <w:t xml:space="preserve"> </w:t>
      </w:r>
      <w:r>
        <w:t xml:space="preserve">8. Configuración del calendario escolar, escalas de notas y congelamiento de periodos cerrados.</w:t>
      </w:r>
      <w:r>
        <w:t xml:space="preserve"> </w:t>
      </w:r>
      <w:r>
        <w:t xml:space="preserve">9. Planeación curricular por competencias con sincronización en caliente (</w:t>
      </w:r>
      <w:r>
        <w:rPr>
          <w:rStyle w:val="VerbatimChar"/>
        </w:rPr>
        <w:t xml:space="preserve">sync_uuid</w:t>
      </w:r>
      <w:r>
        <w:t xml:space="preserve">) para cursos paralelos.</w:t>
      </w:r>
      <w:r>
        <w:t xml:space="preserve"> </w:t>
      </w:r>
      <w:r>
        <w:t xml:space="preserve">10. Catálogo nacional de Derechos Básicos de Aprendizaje (DBA) y matriz de coherencia pedagógica.</w:t>
      </w:r>
      <w:r>
        <w:t xml:space="preserve"> </w:t>
      </w:r>
      <w:r>
        <w:t xml:space="preserve">11. Registro de calificaciones continuas con actividades y criterios ponderados.</w:t>
      </w:r>
      <w:r>
        <w:t xml:space="preserve"> </w:t>
      </w:r>
      <w:r>
        <w:t xml:space="preserve">12. Observador del estudiante con categorías formativas y obligatoriedad académica para boletines.</w:t>
      </w:r>
      <w:r>
        <w:t xml:space="preserve"> </w:t>
      </w:r>
      <w:r>
        <w:t xml:space="preserve">13. Control diario de asistencia con restricción física estricta de 7 bloques de clase al día.</w:t>
      </w:r>
      <w:r>
        <w:t xml:space="preserve"> </w:t>
      </w:r>
      <w:r>
        <w:t xml:space="preserve">14. Cierre desacoplado por asignatura, consolidación institucional y emisión de boletines PDF.</w:t>
      </w:r>
      <w:r>
        <w:t xml:space="preserve"> </w:t>
      </w:r>
      <w:r>
        <w:t xml:space="preserve">15. Supervisión extraordinaria del Admin General con re-autenticación del Rector, filtro de año lectivo y bitácora JSONB.</w:t>
      </w:r>
      <w:r>
        <w:t xml:space="preserve"> </w:t>
      </w:r>
      <w:r>
        <w:t xml:space="preserve">16. Mesa de ayuda y soporte técnico con código Base36 ofuscado, regla de turnos ping-pong y escalamiento.</w:t>
      </w:r>
      <w:r>
        <w:t xml:space="preserve"> </w:t>
      </w:r>
      <w:r>
        <w:t xml:space="preserve">17. Consola directiva de acudientes con métricas de riesgo, drawer familiar y modo monitoreo.</w:t>
      </w:r>
      <w:r>
        <w:t xml:space="preserve"> </w:t>
      </w:r>
      <w:r>
        <w:t xml:space="preserve">18. Gestión y trazabilidad de traslados intercolegiados de estudiantes y usuarios.</w:t>
      </w:r>
      <w:r>
        <w:t xml:space="preserve"> </w:t>
      </w:r>
      <w:r>
        <w:t xml:space="preserve">19. Seguimiento acumulativo de desempeño y toma de decisiones de promoción según Decreto 1290 de 2009.</w:t>
      </w:r>
      <w:r>
        <w:t xml:space="preserve"> </w:t>
      </w:r>
      <w:r>
        <w:t xml:space="preserve">20. Acompañamiento pedagógico directo a usuarios por parte de directivos en modo solo lectura estricto.</w:t>
      </w:r>
      <w:r>
        <w:t xml:space="preserve"> </w:t>
      </w:r>
      <w:r>
        <w:t xml:space="preserve">21. Servicio centralizado de entrega de correos transaccionales y verificación de códigos OTP de un solo uso.</w:t>
      </w:r>
    </w:p>
    <w:bookmarkEnd w:id="16"/>
    <w:bookmarkStart w:id="17" w:name="personal-involucrado"/>
    <w:p>
      <w:pPr>
        <w:pStyle w:val="Heading2"/>
      </w:pPr>
      <w:r>
        <w:t xml:space="preserve">1.3 Personal Involucrado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Categoría Profesional</w:t>
            </w:r>
          </w:p>
        </w:tc>
        <w:tc>
          <w:tcPr/>
          <w:p>
            <w:pPr>
              <w:pStyle w:val="Compact"/>
            </w:pPr>
            <w:r>
              <w:t xml:space="preserve">Responsabilidades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Arquitectura</w:t>
            </w:r>
          </w:p>
        </w:tc>
        <w:tc>
          <w:tcPr/>
          <w:p>
            <w:pPr>
              <w:pStyle w:val="Compact"/>
            </w:pPr>
            <w:r>
              <w:t xml:space="preserve">Arquitecto de Software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Diseño de infraestructura Multi-Tenant, seguridad JWT, Kysely y triggers PostgreSQL.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Ingenieros Fullstack</w:t>
            </w:r>
          </w:p>
        </w:tc>
        <w:tc>
          <w:tcPr/>
          <w:p>
            <w:pPr>
              <w:pStyle w:val="Compact"/>
            </w:pPr>
            <w:r>
              <w:t xml:space="preserve">Mid/Senior</w:t>
            </w:r>
          </w:p>
        </w:tc>
        <w:tc>
          <w:tcPr/>
          <w:p>
            <w:pPr>
              <w:pStyle w:val="Compact"/>
            </w:pPr>
            <w:r>
              <w:t xml:space="preserve">Construcción de APIs Express con Zod, vistas Vue 3 SPA y servicios asíncronos.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Análisis</w:t>
            </w:r>
          </w:p>
        </w:tc>
        <w:tc>
          <w:tcPr/>
          <w:p>
            <w:pPr>
              <w:pStyle w:val="Compact"/>
            </w:pPr>
            <w:r>
              <w:t xml:space="preserve">Analistas Funcionales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Levantamiento de reglas de negocio pedagógicas colombianas y catálogo DBA.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Calidad (QA)</w:t>
            </w:r>
          </w:p>
        </w:tc>
        <w:tc>
          <w:tcPr/>
          <w:p>
            <w:pPr>
              <w:pStyle w:val="Compact"/>
            </w:pPr>
            <w:r>
              <w:t xml:space="preserve">Ingenieros de Pruebas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Verificación de inmutabilidad en periodos cerrados y pruebas de estrés.</w:t>
            </w:r>
          </w:p>
        </w:tc>
      </w:tr>
    </w:tbl>
    <w:bookmarkEnd w:id="17"/>
    <w:bookmarkStart w:id="18" w:name="definiciones-acrónimos-y-abreviaturas"/>
    <w:p>
      <w:pPr>
        <w:pStyle w:val="Heading2"/>
      </w:pPr>
      <w:r>
        <w:t xml:space="preserve">1.4 Definiciones, Acrónimos y Abreviaturas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DBA</w:t>
      </w:r>
      <w:r>
        <w:t xml:space="preserve">: Derechos Básicos de Aprendizaje. Aprendizajes clave del Ministerio de Educación Nacional de Colombia.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</w:t>
      </w:r>
      <w:r>
        <w:t xml:space="preserve">: Ministerio de Educación Nacional de Colombia.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JTI</w:t>
      </w:r>
      <w:r>
        <w:t xml:space="preserve">: JWT ID. Identificador único de un token de autenticación para su invalidación en lista negra.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Kysely</w:t>
      </w:r>
      <w:r>
        <w:t xml:space="preserve">: Constructor de consultas SQL fuertemente tipado para TypeScript con validación estática de esquemas.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Zod</w:t>
      </w:r>
      <w:r>
        <w:t xml:space="preserve">: Librería de validación y sanitización declarativa de esquemas y tipos en tiempo de ejecución.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OTP</w:t>
      </w:r>
      <w:r>
        <w:t xml:space="preserve">: One-Time Password. Código numérico de 6 dígitos con expiración temporal emitido por correo electrónico.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</w:t>
      </w:r>
      <w:r>
        <w:t xml:space="preserve">: Arquitectura de software donde múltiples colegios comparten la misma instancia aislados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 Groups (Cursos Paralelos)</w:t>
      </w:r>
      <w:r>
        <w:t xml:space="preserve">: Grupos que pertenecen al mismo tipo de grado dentro del mismo colegio en el mismo año lectivo (ej. 1-A y 1-B).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Modo Seguimiento Espejo</w:t>
      </w:r>
      <w:r>
        <w:t xml:space="preserve">: Mecanismo que permite al directivo inspeccionar la interfaz de un usuario sin alterar tokens ni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</w:t>
      </w:r>
      <w:r>
        <w:t xml:space="preserve">: Software Requirements Specification (Especificación de Requisitos de Software).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UUID</w:t>
      </w:r>
      <w:r>
        <w:t xml:space="preserve">: Universally Unique Identifier. Identificador único de 128 bits usado para sincronización de competencias y seguimiento público.</w:t>
      </w:r>
    </w:p>
    <w:bookmarkEnd w:id="18"/>
    <w:bookmarkStart w:id="20" w:name="referencias"/>
    <w:p>
      <w:pPr>
        <w:pStyle w:val="Heading2"/>
      </w:pPr>
      <w:r>
        <w:t xml:space="preserve">1.5 Referencias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Título del Documento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REF-001</w:t>
            </w:r>
          </w:p>
        </w:tc>
        <w:tc>
          <w:tcPr/>
          <w:p>
            <w:pPr>
              <w:pStyle w:val="Compact"/>
            </w:pPr>
            <w:r>
              <w:t xml:space="preserve">Manual Funcional Maestro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AcademiaNeiva_Documento_Funcional.md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Analista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REF-002</w:t>
            </w:r>
          </w:p>
        </w:tc>
        <w:tc>
          <w:tcPr/>
          <w:p>
            <w:pPr>
              <w:pStyle w:val="Compact"/>
            </w:pPr>
            <w:r>
              <w:t xml:space="preserve">Manual Técnico Maestro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AcademiaNeiva_Documento_Tecnico.md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Arquitecto Senior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REF-003</w:t>
            </w:r>
          </w:p>
        </w:tc>
        <w:tc>
          <w:tcPr/>
          <w:p>
            <w:pPr>
              <w:pStyle w:val="Compact"/>
            </w:pPr>
            <w:r>
              <w:t xml:space="preserve">Documentación Técnica Integral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AcademiaNeiva_Documentacion_Tecnica_Integral.md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REF-004</w:t>
            </w:r>
          </w:p>
        </w:tc>
        <w:tc>
          <w:tcPr/>
          <w:p>
            <w:pPr>
              <w:pStyle w:val="Compact"/>
            </w:pPr>
            <w:r>
              <w:t xml:space="preserve">Mapa General de Módulos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guides/modules/mapa_documentacion.md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REF-005</w:t>
            </w:r>
          </w:p>
        </w:tc>
        <w:tc>
          <w:tcPr/>
          <w:p>
            <w:pPr>
              <w:pStyle w:val="Compact"/>
            </w:pPr>
            <w:r>
              <w:t xml:space="preserve">Esquema de Base de Datos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AcademiaNeivaBD.sql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Administrador BD</w:t>
            </w:r>
          </w:p>
        </w:tc>
      </w:tr>
    </w:tbl>
    <w:bookmarkEnd w:id="20"/>
    <w:bookmarkStart w:id="21" w:name="resumen-vista-general"/>
    <w:p>
      <w:pPr>
        <w:pStyle w:val="Heading2"/>
      </w:pPr>
      <w:r>
        <w:t xml:space="preserve">1.6 Resumen / Vista General</w:t>
      </w:r>
    </w:p>
    <w:p>
      <w:pPr>
        <w:pStyle w:val="FirstParagraph"/>
      </w:pPr>
      <w:r>
        <w:t xml:space="preserve">Este documento está estructurado en tres secciones principales: la Sección 1 describe la introducción y contexto; la Sección 2 presenta la descripción general del producto, características de usuarios y restricciones; y la Sección 3 detalla exhaustivamente cada requisito funcional catalogado por módulo (21 módulos), los requisitos no funcionales de rendimiento y seguridad, y las reglas globales del negocio.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descripción-general"/>
    <w:p>
      <w:pPr>
        <w:pStyle w:val="Heading1"/>
      </w:pPr>
      <w:r>
        <w:t xml:space="preserve">2. Descripción General</w:t>
      </w:r>
    </w:p>
    <w:p>
      <w:pPr>
        <w:pStyle w:val="BlockText"/>
      </w:pPr>
      <w:r>
        <w:rPr>
          <w:b/>
          <w:bCs/>
        </w:rPr>
        <w:t xml:space="preserve">Objetivo de esta sección:</w:t>
      </w:r>
      <w:r>
        <w:br/>
      </w:r>
      <w:r>
        <w:t xml:space="preserve">Ofrecer una visión de alto nivel de las funciones principales del software, su arquitectura, contexto del producto, perfiles de usuario, restricciones operativas y suposiciones técnicas.</w:t>
      </w:r>
    </w:p>
    <w:p>
      <w:pPr>
        <w:pStyle w:val="BlockText"/>
      </w:pPr>
      <w:r>
        <w:rPr>
          <w:b/>
          <w:bCs/>
        </w:rPr>
        <w:t xml:space="preserve">Fuentes de información utilizadas:</w:t>
      </w:r>
      <w:r>
        <w:br/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guides/AcademiaNeiva_Documento_Funcional.md</w:t>
        </w:r>
      </w:hyperlink>
      <w:r>
        <w:br/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guides/AcademiaNeiva_Documento_Tecnico.md</w:t>
        </w:r>
      </w:hyperlink>
    </w:p>
    <w:bookmarkStart w:id="25" w:name="perspectiva-del-producto"/>
    <w:p>
      <w:pPr>
        <w:pStyle w:val="Heading2"/>
      </w:pPr>
      <w:r>
        <w:t xml:space="preserve">2.1 Perspectiva del Producto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es un sistema autónomo e independiente operado bajo una arquitectura desacoplada Client-Server. La interfaz de usuario opera como una Single Page Application (SPA) en el navegador cliente (Vue 3 + Pinia + TypeScript), interactuando de forma exclusiva con una API RESTful mediante HTTPS y JSON. La lógica backend valida esquemas con</w:t>
      </w:r>
      <w:r>
        <w:t xml:space="preserve"> </w:t>
      </w:r>
      <w:r>
        <w:rPr>
          <w:b/>
          <w:bCs/>
        </w:rPr>
        <w:t xml:space="preserve">Zod</w:t>
      </w:r>
      <w:r>
        <w:t xml:space="preserve">, construye consultas tipadas con</w:t>
      </w:r>
      <w:r>
        <w:t xml:space="preserve"> </w:t>
      </w:r>
      <w:r>
        <w:rPr>
          <w:b/>
          <w:bCs/>
        </w:rPr>
        <w:t xml:space="preserve">Kysely</w:t>
      </w:r>
      <w:r>
        <w:t xml:space="preserve"> </w:t>
      </w:r>
      <w:r>
        <w:t xml:space="preserve">y persiste datos en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respaldado por funciones PL/pgSQL que imponen reglas de inmutabilidad directamente en la capa de datos.</w:t>
      </w:r>
    </w:p>
    <w:bookmarkEnd w:id="25"/>
    <w:bookmarkStart w:id="26" w:name="funcionalidades-del-producto-21-módulos"/>
    <w:p>
      <w:pPr>
        <w:pStyle w:val="Heading2"/>
      </w:pPr>
      <w:r>
        <w:t xml:space="preserve">2.2 Funcionalidades del Producto (21 Módulos)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Autenticación (AUT)</w:t>
      </w:r>
      <w:r>
        <w:t xml:space="preserve">: Emisión de JWT, revocación de tokens en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y directorio de usuarios.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Colegios (COL)</w:t>
      </w:r>
      <w:r>
        <w:t xml:space="preserve">: Catálogo de instituciones y personalización de marca (escudo/colores).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Usuarios y Directivos (DIR)</w:t>
      </w:r>
      <w:r>
        <w:t xml:space="preserve">: Administración de personal directivo y trazabilidad de credenciales.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Estructura Escolar (EST)</w:t>
      </w:r>
      <w:r>
        <w:t xml:space="preserve">: Gestión de niveles, grados, grupos (control de cupos) y materias.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Docentes (DOC)</w:t>
      </w:r>
      <w:r>
        <w:t xml:space="preserve">: Carga académica, validación de teléfono y asignaciones docentes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Matrículas (MAT)</w:t>
      </w:r>
      <w:r>
        <w:t xml:space="preserve">: Formulario público, verificación previa OTP de email, tokens UUID y validación documental.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Estudiantes y Estados (STU)</w:t>
      </w:r>
      <w:r>
        <w:t xml:space="preserve">: Control de estados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) y suspensiones automáticas.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Académica (CONF)</w:t>
      </w:r>
      <w:r>
        <w:t xml:space="preserve">: Periodos académicos, escalas de notas y bloqueos por cierre.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Competencias (COMP)</w:t>
      </w:r>
      <w:r>
        <w:t xml:space="preserve">: Planeación curricular y propagación a cursos paralelos vía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Catálogo DBA (DBA)</w:t>
      </w:r>
      <w:r>
        <w:t xml:space="preserve">: Alineación con el MEN, exclusividad 1-to-1 y reportes de coherencia.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Calificaciones (CAL)</w:t>
      </w:r>
      <w:r>
        <w:t xml:space="preserve">: Planilla docente interactiva, actividades y criterios de evaluación ponderados.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Observaciones (OBS)</w:t>
      </w:r>
      <w:r>
        <w:t xml:space="preserve">: Registro comportamental y observaciones académicas obligatorias para boletines.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Asistencia (ASI)</w:t>
      </w:r>
      <w:r>
        <w:t xml:space="preserve">: Toma diaria de fallas con límite estricto de 7 bloques de clase al día.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Cierre y Boletines (BOL)</w:t>
      </w:r>
      <w:r>
        <w:t xml:space="preserve">: Cierre por materia, consolidación institucional e impresión de boletines PDF.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Supervisión y Auditoría (SUP)</w:t>
      </w:r>
      <w:r>
        <w:t xml:space="preserve">: Acceso del Admin General con re-autenticación del Rector, filtro de año lectivo y bitácora JSONB.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Soporte y Tickets (SOP)</w:t>
      </w:r>
      <w:r>
        <w:t xml:space="preserve">: Mesa de ayuda pública con código Base36, selectores consistentes y regla ping-pong.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Padres de Familia (PAD)</w:t>
      </w:r>
      <w:r>
        <w:t xml:space="preserve">: Consola directiva con métricas, alertas familiares y modo monitoreo.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Traslados (TRS)</w:t>
      </w:r>
      <w:r>
        <w:t xml:space="preserve">: Solicitudes públicas y directivas de traslado entre colegios con trazabilidad de estados.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Seguimiento y Promoción (PRO)</w:t>
      </w:r>
      <w:r>
        <w:t xml:space="preserve">: Seguimiento acumulativo y registro de decisiones de promoción anual.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Seguimiento Directivo (SEG)</w:t>
      </w:r>
      <w:r>
        <w:t xml:space="preserve">: Acompañamiento pedagógico en modo solo lectura estricto a docentes, estudiantes y padres.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Flujo de Correos y OTP (COR)</w:t>
      </w:r>
      <w:r>
        <w:t xml:space="preserve">: Entrega transaccional SMTP, verificación de emails con OTP y restablecimiento de claves.</w:t>
      </w:r>
    </w:p>
    <w:bookmarkEnd w:id="26"/>
    <w:bookmarkStart w:id="27" w:name="características-de-los-usuarios"/>
    <w:p>
      <w:pPr>
        <w:pStyle w:val="Heading2"/>
      </w:pPr>
      <w:r>
        <w:t xml:space="preserve">2.3 Características de los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de Usuario</w:t>
            </w:r>
          </w:p>
        </w:tc>
        <w:tc>
          <w:tcPr/>
          <w:p>
            <w:pPr>
              <w:pStyle w:val="Compact"/>
            </w:pPr>
            <w:r>
              <w:t xml:space="preserve">Nivel Técnico</w:t>
            </w:r>
          </w:p>
        </w:tc>
        <w:tc>
          <w:tcPr/>
          <w:p>
            <w:pPr>
              <w:pStyle w:val="Compact"/>
            </w:pPr>
            <w:r>
              <w:t xml:space="preserve">Descripción de 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Acceso global del sistema, gestión de colegios, catálogo DBA, supervisión externa y resolución de tickets.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(Rector / Coordinador)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Administración completa de su colegio, asignaciones, cierres de periodos, acompañamiento pedagógico y matrículas.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Medio/Básico</w:t>
            </w:r>
          </w:p>
        </w:tc>
        <w:tc>
          <w:tcPr/>
          <w:p>
            <w:pPr>
              <w:pStyle w:val="Compact"/>
            </w:pPr>
            <w:r>
              <w:t xml:space="preserve">Registro de competencias, notas, observaciones y tomador de asistencias en asignaturas asociadas.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Consulta de notas definitivas, desglose de actividades, fallas y descarga de boletines en su portal personal.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 de Familia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Consulta consolidada del desempeño y comportamiento de múltiples hijos vinculados.</w:t>
            </w:r>
          </w:p>
        </w:tc>
      </w:tr>
    </w:tbl>
    <w:bookmarkEnd w:id="27"/>
    <w:bookmarkStart w:id="28" w:name="restricciones"/>
    <w:p>
      <w:pPr>
        <w:pStyle w:val="Heading2"/>
      </w:pPr>
      <w:r>
        <w:t xml:space="preserve">2.4 Restricciones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Multi-Tenancy</w:t>
      </w:r>
      <w:r>
        <w:t xml:space="preserve">: Toda consulta SQL/Kysely debe filtrar estrictamente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Inmutabilidad SQL</w:t>
      </w:r>
      <w:r>
        <w:t xml:space="preserve">: Sentencias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sobre registros en periodos cerrados son abortadas por el 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Asistencia</w:t>
      </w:r>
      <w:r>
        <w:t xml:space="preserve">: Ningún estudiante puede tener más de 7 bloques de clase registrados en la misma fecha.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Tamaño de Archivos</w:t>
      </w:r>
      <w:r>
        <w:t xml:space="preserve">: Los archivos adjuntos de matrícula e inscripciones no pueden superar el tamaño máximo de 5MB por archivo.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Validación Zod</w:t>
      </w:r>
      <w:r>
        <w:t xml:space="preserve">: Toda petición mutativa debe cumplir los esquemas de validación Zod en</w:t>
      </w:r>
      <w:r>
        <w:t xml:space="preserve"> </w:t>
      </w:r>
      <w:r>
        <w:rPr>
          <w:rStyle w:val="VerbatimChar"/>
        </w:rPr>
        <w:t xml:space="preserve">backend/src/dtos/</w:t>
      </w:r>
      <w:r>
        <w:t xml:space="preserve">.</w:t>
      </w:r>
    </w:p>
    <w:bookmarkEnd w:id="28"/>
    <w:bookmarkStart w:id="29" w:name="suposiciones-y-dependencias"/>
    <w:p>
      <w:pPr>
        <w:pStyle w:val="Heading2"/>
      </w:pPr>
      <w:r>
        <w:t xml:space="preserve">2.5 Suposiciones y Dependencias</w:t>
      </w:r>
    </w:p>
    <w:p>
      <w:pPr>
        <w:pStyle w:val="Compact"/>
        <w:numPr>
          <w:ilvl w:val="0"/>
          <w:numId w:val="1004"/>
        </w:numPr>
      </w:pPr>
      <w:r>
        <w:t xml:space="preserve">Se asume que el servidor cuenta con Node.js v18+ y PostgreSQL 14+ instalados.</w:t>
      </w:r>
    </w:p>
    <w:p>
      <w:pPr>
        <w:pStyle w:val="Compact"/>
        <w:numPr>
          <w:ilvl w:val="0"/>
          <w:numId w:val="1004"/>
        </w:numPr>
      </w:pPr>
      <w:r>
        <w:t xml:space="preserve">Las comunicaciones entre cliente y servidor requieren conectividad HTTPS.</w:t>
      </w:r>
    </w:p>
    <w:p>
      <w:pPr>
        <w:pStyle w:val="Compact"/>
        <w:numPr>
          <w:ilvl w:val="0"/>
          <w:numId w:val="1004"/>
        </w:numPr>
      </w:pPr>
      <w:r>
        <w:t xml:space="preserve">El envío de notificaciones y verificación OTP depende de la disponibilidad del servidor SMTP configurado.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66" w:name="requisitos-específicos"/>
    <w:p>
      <w:pPr>
        <w:pStyle w:val="Heading1"/>
      </w:pPr>
      <w:r>
        <w:t xml:space="preserve">3. Requisitos Específicos</w:t>
      </w:r>
    </w:p>
    <w:p>
      <w:pPr>
        <w:pStyle w:val="BlockText"/>
      </w:pPr>
      <w:r>
        <w:rPr>
          <w:b/>
          <w:bCs/>
        </w:rPr>
        <w:t xml:space="preserve">Objetivo de esta sección:</w:t>
      </w:r>
      <w:r>
        <w:br/>
      </w:r>
      <w:r>
        <w:t xml:space="preserve">Especificar en detalle cada uno de los requisitos funcionales, de interfaz, no funcionales y reglas globales del sistema AcademiaNeiva para los 21 módulos.</w:t>
      </w:r>
    </w:p>
    <w:bookmarkStart w:id="35" w:name="requisitos-comunes-de-las-interfaces"/>
    <w:p>
      <w:pPr>
        <w:pStyle w:val="Heading2"/>
      </w:pPr>
      <w:r>
        <w:t xml:space="preserve">3.1 Requisitos Comunes de las Interfaces</w:t>
      </w:r>
    </w:p>
    <w:bookmarkStart w:id="31" w:name="interfaces-de-usuario"/>
    <w:p>
      <w:pPr>
        <w:pStyle w:val="Heading3"/>
      </w:pPr>
      <w:r>
        <w:t xml:space="preserve">3.1.1 Interfaces de Usuario</w:t>
      </w:r>
    </w:p>
    <w:p>
      <w:pPr>
        <w:pStyle w:val="Compact"/>
        <w:numPr>
          <w:ilvl w:val="0"/>
          <w:numId w:val="1005"/>
        </w:numPr>
      </w:pPr>
      <w:r>
        <w:t xml:space="preserve">La interfaz debe ser una Single Page Application (SPA) receptiva construida en Vue 3 con Vanilla CSS.</w:t>
      </w:r>
    </w:p>
    <w:p>
      <w:pPr>
        <w:pStyle w:val="Compact"/>
        <w:numPr>
          <w:ilvl w:val="0"/>
          <w:numId w:val="1005"/>
        </w:numPr>
      </w:pPr>
      <w:r>
        <w:t xml:space="preserve">El encabezado debe adaptar el escudo y la paleta de colores corporativos del colegio del usuario autenticado.</w:t>
      </w:r>
    </w:p>
    <w:p>
      <w:pPr>
        <w:pStyle w:val="Compact"/>
        <w:numPr>
          <w:ilvl w:val="0"/>
          <w:numId w:val="1005"/>
        </w:numPr>
      </w:pPr>
      <w:r>
        <w:t xml:space="preserve">En modo supervisión activa, la interfaz debe desplegar un banner superior de color rojo persistente con el nombre del colegio y temporizador regresivo.</w:t>
      </w:r>
    </w:p>
    <w:p>
      <w:pPr>
        <w:pStyle w:val="Compact"/>
        <w:numPr>
          <w:ilvl w:val="0"/>
          <w:numId w:val="1005"/>
        </w:numPr>
      </w:pPr>
      <w:r>
        <w:t xml:space="preserve">En modo seguimiento pedagógico directivo, la interfaz debe desplegar un banner ámbar superior y habilitar el modo solo lectura.</w:t>
      </w:r>
    </w:p>
    <w:bookmarkEnd w:id="31"/>
    <w:bookmarkStart w:id="32" w:name="interfaces-de-hardware"/>
    <w:p>
      <w:pPr>
        <w:pStyle w:val="Heading3"/>
      </w:pPr>
      <w:r>
        <w:t xml:space="preserve">3.1.2 Interfaces de Hardware</w:t>
      </w:r>
    </w:p>
    <w:p>
      <w:pPr>
        <w:pStyle w:val="Compact"/>
        <w:numPr>
          <w:ilvl w:val="0"/>
          <w:numId w:val="1006"/>
        </w:numPr>
      </w:pPr>
      <w:r>
        <w:t xml:space="preserve">No se exigen requerimientos de hardware especiales; el cliente opera desde cualquier navegador web moderno (Chrome, Firefox, Edge, Safari) en computadores o dispositivos móviles.</w:t>
      </w:r>
    </w:p>
    <w:bookmarkEnd w:id="32"/>
    <w:bookmarkStart w:id="33" w:name="interfaces-de-software"/>
    <w:p>
      <w:pPr>
        <w:pStyle w:val="Heading3"/>
      </w:pPr>
      <w:r>
        <w:t xml:space="preserve">3.1.3 Interfaces de Software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 de Datos</w:t>
      </w:r>
      <w:r>
        <w:t xml:space="preserve">: PostgreSQL 14+ gestionado mediante Kysely Query Builder (</w:t>
      </w:r>
      <w:r>
        <w:rPr>
          <w:rStyle w:val="VerbatimChar"/>
        </w:rPr>
        <w:t xml:space="preserve">db.types.ts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Generador de Reportes</w:t>
      </w:r>
      <w:r>
        <w:t xml:space="preserve">: Motor PDFKit / HTML2PDF para la generación de boletines en backend.</w:t>
      </w:r>
    </w:p>
    <w:bookmarkEnd w:id="33"/>
    <w:bookmarkStart w:id="34" w:name="interfaces-de-comunicación"/>
    <w:p>
      <w:pPr>
        <w:pStyle w:val="Heading3"/>
      </w:pPr>
      <w:r>
        <w:t xml:space="preserve">3.1.4 Interfaces de Comunicación</w:t>
      </w:r>
    </w:p>
    <w:p>
      <w:pPr>
        <w:pStyle w:val="Compact"/>
        <w:numPr>
          <w:ilvl w:val="0"/>
          <w:numId w:val="1008"/>
        </w:numPr>
      </w:pPr>
      <w:r>
        <w:t xml:space="preserve">Peticiones HTTPS bajo formato REST API enviando y recibiendo objetos en formato JSON (</w:t>
      </w:r>
      <w:r>
        <w:rPr>
          <w:rStyle w:val="VerbatimChar"/>
        </w:rPr>
        <w:t xml:space="preserve">Content-Type: application/json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7" w:name="Xac46516253c4fc32e8d4fe95cb8125251a44427"/>
    <w:p>
      <w:pPr>
        <w:pStyle w:val="Heading2"/>
      </w:pPr>
      <w:r>
        <w:t xml:space="preserve">3.2 Requisitos Funcionales Catalogados por Módulo</w:t>
      </w:r>
    </w:p>
    <w:bookmarkStart w:id="36" w:name="módulo-01-autenticación-y-sesiones"/>
    <w:p>
      <w:pPr>
        <w:pStyle w:val="Heading3"/>
      </w:pPr>
      <w:r>
        <w:t xml:space="preserve">3.2.1 Módulo 01: Autenticación y Sesiones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RF-AUT-001 (HU-AUT-001)</w:t>
      </w:r>
      <w:r>
        <w:t xml:space="preserve">: El sistema debe autenticar usuarios mediante correo y contraseña, emitiendo un token JWT firmado con el atributo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único.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RF-AUT-002 (HU-AUT-002)</w:t>
      </w:r>
      <w:r>
        <w:t xml:space="preserve">: El sistema debe consultar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en cada petición protegida para denegar tokens revocados.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RF-AUT-003 (HU-AUT-003)</w:t>
      </w:r>
      <w:r>
        <w:t xml:space="preserve">: El sistema debe invalidar todas las sesiones activas de un usuario actualizando la columna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.</w:t>
      </w:r>
    </w:p>
    <w:bookmarkEnd w:id="36"/>
    <w:bookmarkStart w:id="37" w:name="módulo-02-gestión-de-colegios"/>
    <w:p>
      <w:pPr>
        <w:pStyle w:val="Heading3"/>
      </w:pPr>
      <w:r>
        <w:t xml:space="preserve">3.2.2 Módulo 02: Gestión de Colegios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RF-COL-001 (HU-COL-001)</w:t>
      </w:r>
      <w:r>
        <w:t xml:space="preserve">: El Administrador General debe poder registrar nuevos colegios configurando su nombre, NIT y dominio.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RF-COL-002 (HU-COL-002)</w:t>
      </w:r>
      <w:r>
        <w:t xml:space="preserve">: El Directivo debe poder personalizar el escudo y los colores corporativos de su institución.</w:t>
      </w:r>
    </w:p>
    <w:bookmarkEnd w:id="37"/>
    <w:bookmarkStart w:id="38" w:name="módulo-03-usuarios-y-directivos"/>
    <w:p>
      <w:pPr>
        <w:pStyle w:val="Heading3"/>
      </w:pPr>
      <w:r>
        <w:t xml:space="preserve">3.2.3 Módulo 03: Usuarios y Directivos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RF-DIR-001 (HU-DIR-001)</w:t>
      </w:r>
      <w:r>
        <w:t xml:space="preserve">: El Administrador General debe poder vincular y desvincular Directivos (Rectores / Coordinadores) a colegios.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RF-DIR-002 (HU-DIR-002)</w:t>
      </w:r>
      <w:r>
        <w:t xml:space="preserve">: La modificación de credenciales de otros usuarios se gestiona de forma centralizada en el módulo de usuarios administrativos.</w:t>
      </w:r>
    </w:p>
    <w:bookmarkEnd w:id="38"/>
    <w:bookmarkStart w:id="39" w:name="módulo-04-estructura-escolar"/>
    <w:p>
      <w:pPr>
        <w:pStyle w:val="Heading3"/>
      </w:pPr>
      <w:r>
        <w:t xml:space="preserve">3.2.4 Módulo 04: Estructura Escolar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RF-EST-001 (HU-EST-001)</w:t>
      </w:r>
      <w:r>
        <w:t xml:space="preserve">: El Directivo debe definir la estructura organizativa creando Niveles, Grados y Grupos.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RF-EST-002 (HU-EST-002)</w:t>
      </w:r>
      <w:r>
        <w:t xml:space="preserve">: El sistema debe controlar el límite de cupos máximos de un grupo impidiendo inscripciones sobre-cupo.</w:t>
      </w:r>
    </w:p>
    <w:bookmarkEnd w:id="39"/>
    <w:bookmarkStart w:id="40" w:name="módulo-05-docentes"/>
    <w:p>
      <w:pPr>
        <w:pStyle w:val="Heading3"/>
      </w:pPr>
      <w:r>
        <w:t xml:space="preserve">3.2.5 Módulo 05: Docentes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RF-DOC-001 (HU-DOC-001)</w:t>
      </w:r>
      <w:r>
        <w:t xml:space="preserve">: El Directivo debe dar de alta a docentes capturando y validando el número de teléfono con esquema Zod (</w:t>
      </w:r>
      <w:r>
        <w:rPr>
          <w:rStyle w:val="VerbatimChar"/>
        </w:rPr>
        <w:t xml:space="preserve">7-20 dígitos</w:t>
      </w:r>
      <w:r>
        <w:t xml:space="preserve">) y asignar su carga académica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RF-DOC-002 (HU-DOC-002)</w:t>
      </w:r>
      <w:r>
        <w:t xml:space="preserve">: El sistema debe enviar un correo de bienvenida automático al docente con sus credenciales iniciales.</w:t>
      </w:r>
    </w:p>
    <w:bookmarkEnd w:id="40"/>
    <w:bookmarkStart w:id="41" w:name="módulo-06-matrículas-e-inscripciones"/>
    <w:p>
      <w:pPr>
        <w:pStyle w:val="Heading3"/>
      </w:pPr>
      <w:r>
        <w:t xml:space="preserve">3.2.6 Módulo 06: Matrículas e Inscripciones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RF-MAT-001 (HU-MAT-001)</w:t>
      </w:r>
      <w:r>
        <w:t xml:space="preserve">: El sistema debe requerir la verificación previa del correo del acudiente mediante código OTP de 6 dígitos antes de procesar el formulario público de inscripción.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RF-MAT-002 (HU-MAT-002)</w:t>
      </w:r>
      <w:r>
        <w:t xml:space="preserve">: La inscripción captura y valida obligatoriamente los teléfonos de contacto del estudiante y acudiente.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RF-MAT-003 (HU-MAT-003)</w:t>
      </w:r>
      <w:r>
        <w:t xml:space="preserve">: El aspirante debe consultar su trámite sin iniciar sesión mediante un token UUID de seguimiento.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RF-MAT-004 (HU-MAT-004)</w:t>
      </w:r>
      <w:r>
        <w:t xml:space="preserve">: Al oficializar la matrícula, el sistema creará en una sola transacción la ficha de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activa, el registro de acudiente y la cuenta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bookmarkEnd w:id="41"/>
    <w:bookmarkStart w:id="42" w:name="módulo-07-estudiantes-y-estados"/>
    <w:p>
      <w:pPr>
        <w:pStyle w:val="Heading3"/>
      </w:pPr>
      <w:r>
        <w:t xml:space="preserve">3.2.7 Módulo 07: Estudiantes y Estados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RF-STU-001 (HU-ESTU-001)</w:t>
      </w:r>
      <w:r>
        <w:t xml:space="preserve">: El Directivo debe consultar la ficha consolidada de rendimiento y asistencias del estudiante.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RF-STU-002 (HU-ESTU-003)</w:t>
      </w:r>
      <w:r>
        <w:t xml:space="preserve">: Al registrar una sanción activa en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, el 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 </w:t>
      </w:r>
      <w:r>
        <w:t xml:space="preserve">debe actualizar el estado a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.</w:t>
      </w:r>
    </w:p>
    <w:bookmarkEnd w:id="42"/>
    <w:bookmarkStart w:id="43" w:name="módulo-08-configuración-académica"/>
    <w:p>
      <w:pPr>
        <w:pStyle w:val="Heading3"/>
      </w:pPr>
      <w:r>
        <w:t xml:space="preserve">3.2.8 Módulo 08: Configuración Académica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RF-CONF-001 (HU-CONF-001)</w:t>
      </w:r>
      <w:r>
        <w:t xml:space="preserve">: El Directivo debe definir los periodos académicos y sus fechas de vigencia.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RF-CONF-002 (HU-CONF-002)</w:t>
      </w:r>
      <w:r>
        <w:t xml:space="preserve">: El sistema debe bloquear cualquier edición de notas en periodos cuyo estado sea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bookmarkEnd w:id="43"/>
    <w:bookmarkStart w:id="44" w:name="módulo-09-competencias-y-sincronización"/>
    <w:p>
      <w:pPr>
        <w:pStyle w:val="Heading3"/>
      </w:pPr>
      <w:r>
        <w:t xml:space="preserve">3.2.9 Módulo 09: Competencias y Sincronización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RF-COMP-001 (HU-COMP-001)</w:t>
      </w:r>
      <w:r>
        <w:t xml:space="preserve">: El docente o directivo debe crear competencias por materia y periodo.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RF-COMP-002 (HU-COMP-002)</w:t>
      </w:r>
      <w:r>
        <w:t xml:space="preserve">: El sistema debe propagar en caliente la edición de una competencia a los cursos paralelos compartiendo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bookmarkEnd w:id="44"/>
    <w:bookmarkStart w:id="45" w:name="módulo-10-catálogo-dba"/>
    <w:p>
      <w:pPr>
        <w:pStyle w:val="Heading3"/>
      </w:pPr>
      <w:r>
        <w:t xml:space="preserve">3.2.10 Módulo 10: Catálogo DBA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RF-DBA-001 (HU-DBA-001)</w:t>
      </w:r>
      <w:r>
        <w:t xml:space="preserve">: El Administrador General debe importar el catálogo nacional DBA.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RF-DBA-002 (HU-DBA-003)</w:t>
      </w:r>
      <w:r>
        <w:t xml:space="preserve">: Las evidencias DBA asociadas a una competencia deben cumplir con la exclusividad 1-to-1 en el grado y año lectivo.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RF-DBA-003 (HU-DBA-004)</w:t>
      </w:r>
      <w:r>
        <w:t xml:space="preserve">: El sistema debe calcular el Reporte de Coherencia Curricular clasificando evidencias en</w:t>
      </w:r>
      <w:r>
        <w:t xml:space="preserve"> </w:t>
      </w:r>
      <w:r>
        <w:rPr>
          <w:rStyle w:val="VerbatimChar"/>
        </w:rPr>
        <w:t xml:space="preserve">Cumple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.</w:t>
      </w:r>
    </w:p>
    <w:bookmarkEnd w:id="45"/>
    <w:bookmarkStart w:id="46" w:name="módulo-11-calificaciones-y-actividades"/>
    <w:p>
      <w:pPr>
        <w:pStyle w:val="Heading3"/>
      </w:pPr>
      <w:r>
        <w:t xml:space="preserve">3.2.11 Módulo 11: Calificaciones y Actividades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RF-CAL-001 (HU-CAL-001)</w:t>
      </w:r>
      <w:r>
        <w:t xml:space="preserve">: El docente debe crear actividades evaluativas acumulando el 100% de la ponderación de la asignatura.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RF-CAL-002 (HU-CAL-003)</w:t>
      </w:r>
      <w:r>
        <w:t xml:space="preserve">: El docente debe ingresar notas en la planilla interactiva validando el rango de la escala (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).</w:t>
      </w:r>
    </w:p>
    <w:bookmarkEnd w:id="46"/>
    <w:bookmarkStart w:id="47" w:name="módulo-12-observaciones-del-estudiante"/>
    <w:p>
      <w:pPr>
        <w:pStyle w:val="Heading3"/>
      </w:pPr>
      <w:r>
        <w:t xml:space="preserve">3.2.12 Módulo 12: Observaciones del Estudiante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RF-OBS-001 (HU-OBS-001)</w:t>
      </w:r>
      <w:r>
        <w:t xml:space="preserve">: El docente debe registrar anotaciones categorizadas por su tipo (</w:t>
      </w:r>
      <w:r>
        <w:rPr>
          <w:rStyle w:val="VerbatimChar"/>
        </w:rPr>
        <w:t xml:space="preserve">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RF-OBS-002 (HU-OBS-002)</w:t>
      </w:r>
      <w:r>
        <w:t xml:space="preserve">: La observación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es requisito obligatorio para autorizar el cierre de materia del docente.</w:t>
      </w:r>
    </w:p>
    <w:bookmarkEnd w:id="47"/>
    <w:bookmarkStart w:id="48" w:name="módulo-13-asistencia-escolar"/>
    <w:p>
      <w:pPr>
        <w:pStyle w:val="Heading3"/>
      </w:pPr>
      <w:r>
        <w:t xml:space="preserve">3.2.13 Módulo 13: Asistencia Escolar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RF-ASI-001 (HU-ASI-001)</w:t>
      </w:r>
      <w:r>
        <w:t xml:space="preserve">: El docente debe tomar asistencia diaria clasificando la falla en</w:t>
      </w:r>
      <w:r>
        <w:t xml:space="preserve"> </w:t>
      </w:r>
      <w:r>
        <w:rPr>
          <w:rStyle w:val="VerbatimChar"/>
        </w:rPr>
        <w:t xml:space="preserve">PRESENTE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JUSTIFICADA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RF-ASI-002 (HU-ASI-001)</w:t>
      </w:r>
      <w:r>
        <w:t xml:space="preserve">: El backend debe rechazar la planilla si algún alumno supera el límite de 7 bloques de clase registrados al día.</w:t>
      </w:r>
    </w:p>
    <w:bookmarkEnd w:id="48"/>
    <w:bookmarkStart w:id="49" w:name="módulo-14-cierre-de-periodo-y-boletines"/>
    <w:p>
      <w:pPr>
        <w:pStyle w:val="Heading3"/>
      </w:pPr>
      <w:r>
        <w:t xml:space="preserve">3.2.14 Módulo 14: Cierre de Periodo y Boletines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RF-BOL-001 (HU-BOL-001)</w:t>
      </w:r>
      <w:r>
        <w:t xml:space="preserve">: El docente debe ejecutar el cierre de periodo por materia consolidando las notas en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RF-BOL-002 (HU-BOL-002)</w:t>
      </w:r>
      <w:r>
        <w:t xml:space="preserve">: El Directivo sólo puede aprobar el cierre institucional del periodo si el 100% de las materias están cerradas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RF-BOL-003 (HU-BOL-003)</w:t>
      </w:r>
      <w:r>
        <w:t xml:space="preserve">: El sistema debe generar los boletines oficiales PDF individuales y por grupo omitiendo matrículas canceladas.</w:t>
      </w:r>
    </w:p>
    <w:bookmarkEnd w:id="49"/>
    <w:bookmarkStart w:id="50" w:name="módulo-15-supervisión-y-auditoría"/>
    <w:p>
      <w:pPr>
        <w:pStyle w:val="Heading3"/>
      </w:pPr>
      <w:r>
        <w:t xml:space="preserve">3.2.15 Módulo 15: Supervisión y Auditoría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RF-SUP-001 (HU-SUP-001)</w:t>
      </w:r>
      <w:r>
        <w:t xml:space="preserve">: El Administrador General debe solicitar sesiones de supervisión a un colegio con motivo y duración en minutos.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RF-SUP-002 (HU-SUP-002)</w:t>
      </w:r>
      <w:r>
        <w:t xml:space="preserve">: El Rector debe aprobar la supervisión mediante re-autenticación obligatoria con su contraseña de usuario.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RF-SUP-003 (HU-SUP-003)</w:t>
      </w:r>
      <w:r>
        <w:t xml:space="preserve">: La consola de supervisión en el panel directivo debe filtrar las solicitudes y registros históricos por el</w:t>
      </w:r>
      <w:r>
        <w:t xml:space="preserve"> </w:t>
      </w:r>
      <w:r>
        <w:rPr>
          <w:b/>
          <w:bCs/>
        </w:rPr>
        <w:t xml:space="preserve">Año Lectivo</w:t>
      </w:r>
      <w:r>
        <w:t xml:space="preserve"> </w:t>
      </w:r>
      <w:r>
        <w:t xml:space="preserve">seleccionado.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RF-SUP-004 (HU-SUP-005)</w:t>
      </w:r>
      <w:r>
        <w:t xml:space="preserve">: Las acciones ejecutadas en modo editor se guardan de forma inmutable capturando</w:t>
      </w:r>
      <w:r>
        <w:t xml:space="preserve"> </w:t>
      </w:r>
      <w:r>
        <w:rPr>
          <w:rStyle w:val="VerbatimChar"/>
        </w:rPr>
        <w:t xml:space="preserve">valor_antiguo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 </w:t>
      </w:r>
      <w:r>
        <w:t xml:space="preserve">en formato JSONB.</w:t>
      </w:r>
    </w:p>
    <w:bookmarkEnd w:id="50"/>
    <w:bookmarkStart w:id="51" w:name="módulo-16-soporte-y-tickets"/>
    <w:p>
      <w:pPr>
        <w:pStyle w:val="Heading3"/>
      </w:pPr>
      <w:r>
        <w:t xml:space="preserve">3.2.16 Módulo 16: Soporte y Tickets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RF-SOP-001 (HU-SOP-001)</w:t>
      </w:r>
      <w:r>
        <w:t xml:space="preserve">: El visitante o usuario debe abrir tickets de soporte recibiendo un código de seguimiento Base36 (</w:t>
      </w:r>
      <w:r>
        <w:rPr>
          <w:rStyle w:val="VerbatimChar"/>
        </w:rPr>
        <w:t xml:space="preserve">TKT-XXXX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RF-SOP-002 (HU-SOP-002)</w:t>
      </w:r>
      <w:r>
        <w:t xml:space="preserve">: El selector de estados en la consola del personal debe renderizar las opciones consistentes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 y filtrar por cada estado en la barra superior.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RF-SOP-003 (HU-SOP-004)</w:t>
      </w:r>
      <w:r>
        <w:t xml:space="preserve">: Los tickets aplicarán la regla del turno de respuesta (ping-pong), deshabilitando la respuesta continua del mismo remitente.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RF-SOP-004 (HU-SOP-005)</w:t>
      </w:r>
      <w:r>
        <w:t xml:space="preserve">: El Directivo puede escalar tickets complejos al Administrador General registrando el timestamp en</w:t>
      </w:r>
      <w:r>
        <w:t xml:space="preserve"> </w:t>
      </w:r>
      <w:r>
        <w:rPr>
          <w:rStyle w:val="VerbatimChar"/>
        </w:rPr>
        <w:t xml:space="preserve">fecha_escalado</w:t>
      </w:r>
      <w:r>
        <w:t xml:space="preserve">. Para el Directivo el control se muestra como badge estático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 mientras que el Admin General puede resolverlo.</w:t>
      </w:r>
    </w:p>
    <w:bookmarkEnd w:id="51"/>
    <w:bookmarkStart w:id="52" w:name="módulo-17-gestión-de-padres-de-familia"/>
    <w:p>
      <w:pPr>
        <w:pStyle w:val="Heading3"/>
      </w:pPr>
      <w:r>
        <w:t xml:space="preserve">3.2.17 Módulo 17: Gestión de Padres de Familia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RF-PAD-001 (HU-PAD-001)</w:t>
      </w:r>
      <w:r>
        <w:t xml:space="preserve">: El Directivo puede buscar, filtrar por grado/alertas y visualizar acudientes con estado estandarizado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Inactivo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RF-PAD-002 (HU-PAD-003)</w:t>
      </w:r>
      <w:r>
        <w:t xml:space="preserve">: Al inactivar la cuenta de un padre de familia, el sistema revoca inmediatamente su sesión mediante la actualización atómica de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RF-PAD-003 (HU-PAD-004)</w:t>
      </w:r>
      <w:r>
        <w:t xml:space="preserve">: El Directivo puede auditar el portal del acudiente en Modo Monitoreo restringiendo el acceso al módulo de Soporte Técnico.</w:t>
      </w:r>
    </w:p>
    <w:bookmarkEnd w:id="52"/>
    <w:bookmarkStart w:id="53" w:name="módulo-18-gestión-de-traslados"/>
    <w:p>
      <w:pPr>
        <w:pStyle w:val="Heading3"/>
      </w:pPr>
      <w:r>
        <w:t xml:space="preserve">3.2.18 Módulo 18: Gestión de Traslados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RF-TRS-001 (HU-TRS-001)</w:t>
      </w:r>
      <w:r>
        <w:t xml:space="preserve">: El usuario puede solicitar el traslado de matrícula entre colegios especificando el motivo y colegio destino.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RF-TRS-002 (HU-TRS-002)</w:t>
      </w:r>
      <w:r>
        <w:t xml:space="preserve">: El Directivo y Admin General pueden aprobar o rechazar solicitudes de traslado registrando la trazabilidad de la acción.</w:t>
      </w:r>
    </w:p>
    <w:bookmarkEnd w:id="53"/>
    <w:bookmarkStart w:id="54" w:name="X029df3c386f5a81f4aab7beebf14365757e6ae7"/>
    <w:p>
      <w:pPr>
        <w:pStyle w:val="Heading3"/>
      </w:pPr>
      <w:r>
        <w:t xml:space="preserve">3.2.19 Módulo 19: Seguimiento Académico, Promoción y Reprobación Anual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RF-PRO-001 (HU-19.1)</w:t>
      </w:r>
      <w:r>
        <w:t xml:space="preserve">: El Directivo puede consultar el seguimiento académico por período único o acumulado (Períodos 1..N) con el desglose de asignaturas reprobadas y docentes responsables.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RF-PRO-002 (HU-19.2)</w:t>
      </w:r>
      <w:r>
        <w:t xml:space="preserve">: El sistema clasifica automáticamente a los estudiantes en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PENDIENTE_RECUPERACION</w:t>
      </w:r>
      <w:r>
        <w:t xml:space="preserve"> </w:t>
      </w:r>
      <w:r>
        <w:t xml:space="preserve">según los promedios ponderados anuales conforme al Decreto 1290 de 2009.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RF-PRO-003 (HU-19.4)</w:t>
      </w:r>
      <w:r>
        <w:t xml:space="preserve">: El Directivo puede registrar la decisión de promoción institucional en la tabla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.</w:t>
      </w:r>
    </w:p>
    <w:bookmarkEnd w:id="54"/>
    <w:bookmarkStart w:id="55" w:name="X5d2bab04729171c733e56a972f1783f185d4663"/>
    <w:p>
      <w:pPr>
        <w:pStyle w:val="Heading3"/>
      </w:pPr>
      <w:r>
        <w:t xml:space="preserve">3.2.20 Módulo 20: Seguimiento Académico a Usuarios por Directivo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RF-SEG-001 (HU-SEG-001)</w:t>
      </w:r>
      <w:r>
        <w:t xml:space="preserve">: El Directivo puede iniciar sesión de acompañamiento pedagógico para emular la vista de un docente, estudiante o padre de familia de su colegio.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RF-SEG-002 (HU-SEG-002)</w:t>
      </w:r>
      <w:r>
        <w:t xml:space="preserve">: El sistema conmuta el rol activo (</w:t>
      </w:r>
      <w:r>
        <w:rPr>
          <w:rStyle w:val="VerbatimChar"/>
        </w:rPr>
        <w:t xml:space="preserve">activeRole</w:t>
      </w:r>
      <w:r>
        <w:t xml:space="preserve">) en el store de Pinia conservando las credenciales originales del directivo y resolviendo el ID del supervisado mediante resolución ternaria (</w:t>
      </w:r>
      <w:r>
        <w:rPr>
          <w:rStyle w:val="VerbatimChar"/>
        </w:rPr>
        <w:t xml:space="preserve">monitoringUser.id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RF-SEG-003 (HU-SEG-003)</w:t>
      </w:r>
      <w:r>
        <w:t xml:space="preserve">: La interfaz opera en</w:t>
      </w:r>
      <w:r>
        <w:t xml:space="preserve"> </w:t>
      </w:r>
      <w:r>
        <w:rPr>
          <w:b/>
          <w:bCs/>
        </w:rPr>
        <w:t xml:space="preserve">modo solo lectura estricto</w:t>
      </w:r>
      <w:r>
        <w:t xml:space="preserve">, ocultando o deshabilitando formularios de registro de notas, asistencia y observador.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RF-SEG-004 (HU-SEG-004)</w:t>
      </w:r>
      <w:r>
        <w:t xml:space="preserve">: El sistema bloquea automáticamente la navegación a la ruta</w:t>
      </w:r>
      <w:r>
        <w:t xml:space="preserve"> </w:t>
      </w:r>
      <w:r>
        <w:rPr>
          <w:rStyle w:val="VerbatimChar"/>
        </w:rPr>
        <w:t xml:space="preserve">/dashboard/gestion-traslados</w:t>
      </w:r>
      <w:r>
        <w:t xml:space="preserve"> </w:t>
      </w:r>
      <w:r>
        <w:t xml:space="preserve">durante una sesión de acompañamiento.</w:t>
      </w:r>
    </w:p>
    <w:bookmarkEnd w:id="55"/>
    <w:bookmarkStart w:id="56" w:name="X94441478aa25fefc16269fef70e11da92b0f407"/>
    <w:p>
      <w:pPr>
        <w:pStyle w:val="Heading3"/>
      </w:pPr>
      <w:r>
        <w:t xml:space="preserve">3.2.21 Módulo 21: Flujo de Correos Electrónicos, Notificaciones y Verificaciones OTP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RF-COR-001 (HU-COR-001)</w:t>
      </w:r>
      <w:r>
        <w:t xml:space="preserve">: El sistema debe generar y validar códigos OTP numéricos de 6 dígitos con expiración de 15 minutos para trámites sensibles (matrículas y actualización de correo en perfil).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RF-COR-002 (HU-COR-002)</w:t>
      </w:r>
      <w:r>
        <w:t xml:space="preserve">: El sistema debe despachar credenciales temporales por correo electrónico al crear directivos y docentes.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RF-COR-003 (HU-COR-003)</w:t>
      </w:r>
      <w:r>
        <w:t xml:space="preserve">: El sistema debe notificar a acudientes inconsistencias documentales de matrícula e inicio de reingresos.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requisitos-no-funcionales"/>
    <w:p>
      <w:pPr>
        <w:pStyle w:val="Heading2"/>
      </w:pPr>
      <w:r>
        <w:t xml:space="preserve">3.3 Requisitos No Funcionales</w:t>
      </w:r>
    </w:p>
    <w:bookmarkStart w:id="58" w:name="requisitos-de-rendimiento"/>
    <w:p>
      <w:pPr>
        <w:pStyle w:val="Heading3"/>
      </w:pPr>
      <w:r>
        <w:t xml:space="preserve">3.3.1 Requisitos de Rendimiento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RNF-001</w:t>
      </w:r>
      <w:r>
        <w:t xml:space="preserve">: Las consultas de planillas de calificaciones deben responder en menos de 500 ms para grupos de hasta 45 alumnos.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RNF-002</w:t>
      </w:r>
      <w:r>
        <w:t xml:space="preserve">: El motor de generación de boletines PDF debe procesar un curso completo en menos de 3 segundos.</w:t>
      </w:r>
    </w:p>
    <w:bookmarkEnd w:id="58"/>
    <w:bookmarkStart w:id="59" w:name="seguridad"/>
    <w:p>
      <w:pPr>
        <w:pStyle w:val="Heading3"/>
      </w:pPr>
      <w:r>
        <w:t xml:space="preserve">3.3.2 Seguridad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RNF-003</w:t>
      </w:r>
      <w:r>
        <w:t xml:space="preserve">: Todas las contraseñas deben almacenarse cifradas con BCrypt (salt rounds &gt;= 10).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RNF-004</w:t>
      </w:r>
      <w:r>
        <w:t xml:space="preserve">: Toda la API debe rechazar peticiones sin token JWT válido en el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RNF-005</w:t>
      </w:r>
      <w:r>
        <w:t xml:space="preserve">: Las tablas de auditoría están protegidas contra sentencias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mediante triggers PL/pgSQL.</w:t>
      </w:r>
    </w:p>
    <w:bookmarkEnd w:id="59"/>
    <w:bookmarkStart w:id="60" w:name="integridad-y-tipado-estático"/>
    <w:p>
      <w:pPr>
        <w:pStyle w:val="Heading3"/>
      </w:pPr>
      <w:r>
        <w:t xml:space="preserve">3.3.3 Integridad y Tipado Estático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RNF-006 (Kysely Query Builder)</w:t>
      </w:r>
      <w:r>
        <w:t xml:space="preserve">: Toda consulta a la base de datos debe construirse mediante Kysely garantizando validación estática de tipos en compilación TypeScript (</w:t>
      </w:r>
      <w:r>
        <w:rPr>
          <w:rStyle w:val="VerbatimChar"/>
        </w:rPr>
        <w:t xml:space="preserve">db.types.ts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RNF-007 (Zod DTO Validation)</w:t>
      </w:r>
      <w:r>
        <w:t xml:space="preserve">: Toda petición mutativa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 debe validarse contra esquemas Zod antes de ingresar a la capa de servicios o base de datos.</w:t>
      </w:r>
    </w:p>
    <w:bookmarkEnd w:id="60"/>
    <w:bookmarkStart w:id="61" w:name="fiabilidad"/>
    <w:p>
      <w:pPr>
        <w:pStyle w:val="Heading3"/>
      </w:pPr>
      <w:r>
        <w:t xml:space="preserve">3.3.4 Fiabilidad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RNF-008</w:t>
      </w:r>
      <w:r>
        <w:t xml:space="preserve">: Las operaciones masivas de notas o cierre se ejecutan dentro de transacciones atómicas SQL (ROLLBACK ante fallos).</w:t>
      </w:r>
    </w:p>
    <w:bookmarkEnd w:id="61"/>
    <w:bookmarkStart w:id="62" w:name="disponibilidad"/>
    <w:p>
      <w:pPr>
        <w:pStyle w:val="Heading3"/>
      </w:pPr>
      <w:r>
        <w:t xml:space="preserve">3.3.5 Disponibilidad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RNF-009</w:t>
      </w:r>
      <w:r>
        <w:t xml:space="preserve">: La API debe mantenerse operativa durante picos de concurrencia de cierres de periodo lectivo.</w:t>
      </w:r>
    </w:p>
    <w:bookmarkEnd w:id="62"/>
    <w:bookmarkStart w:id="63" w:name="mantenibilidad"/>
    <w:p>
      <w:pPr>
        <w:pStyle w:val="Heading3"/>
      </w:pPr>
      <w:r>
        <w:t xml:space="preserve">3.3.6 Mantenibilidad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RNF-010</w:t>
      </w:r>
      <w:r>
        <w:t xml:space="preserve">: El código debe estructurarse en capas desacopladas con controladores Kysely, DTOs Zod, middlewares y vistas Vue 3 modulares.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db06b09c9bd7eb9f92601c0e47496cd94524a18"/>
    <w:p>
      <w:pPr>
        <w:pStyle w:val="Heading2"/>
      </w:pPr>
      <w:r>
        <w:t xml:space="preserve">3.4 Otros Requisitos (Reglas Globales del Sistema)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RG-001 (Multi-Tenancy)</w:t>
      </w:r>
      <w:r>
        <w:t xml:space="preserve">: Todas las tablas del esquema institucional deben estar vinculadas a la clave foránea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RG-002 (Inmutabilidad por Trigger)</w:t>
      </w:r>
      <w:r>
        <w:t xml:space="preserve">: El trigger SQL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 </w:t>
      </w:r>
      <w:r>
        <w:t xml:space="preserve">aborta cualquier escritura en periodos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RG-003 (Retención Legal a 5 Años)</w:t>
      </w:r>
      <w:r>
        <w:t xml:space="preserve">: Las auditorías de supervisión establecen su retención legal en</w:t>
      </w:r>
      <w:r>
        <w:t xml:space="preserve"> </w:t>
      </w:r>
      <w:r>
        <w:rPr>
          <w:rStyle w:val="VerbatimChar"/>
        </w:rPr>
        <w:t xml:space="preserve">now() + '5 years'::interval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RG-004 (Verificación Previa OTP)</w:t>
      </w:r>
      <w:r>
        <w:t xml:space="preserve">: Ninguna matrícula o cambio de email en perfil puede consolidarse sin la validación previa del código OTP de 6 dígitos.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apéndices"/>
    <w:p>
      <w:pPr>
        <w:pStyle w:val="Heading1"/>
      </w:pPr>
      <w:r>
        <w:t xml:space="preserve">4. Apéndices</w:t>
      </w:r>
    </w:p>
    <w:bookmarkStart w:id="67" w:name="X8a4b0123226dd209a478fae6ab862b0c2f47ac9"/>
    <w:p>
      <w:pPr>
        <w:pStyle w:val="Heading2"/>
      </w:pPr>
      <w:r>
        <w:t xml:space="preserve">Apéndice A: Matriz de Trazabilidad de Módulos (21 Módulos)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Módulo Funcional</w:t>
            </w:r>
          </w:p>
        </w:tc>
        <w:tc>
          <w:tcPr/>
          <w:p>
            <w:pPr>
              <w:pStyle w:val="Compact"/>
            </w:pPr>
            <w:r>
              <w:t xml:space="preserve">Tablas SQL Principales</w:t>
            </w:r>
          </w:p>
        </w:tc>
        <w:tc>
          <w:tcPr/>
          <w:p>
            <w:pPr>
              <w:pStyle w:val="Compact"/>
            </w:pPr>
            <w:r>
              <w:t xml:space="preserve">Controlador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token_blacklist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</w:t>
            </w:r>
          </w:p>
        </w:tc>
        <w:tc>
          <w:tcPr/>
          <w:p>
            <w:pPr>
              <w:pStyle w:val="Compact"/>
            </w:pPr>
            <w:r>
              <w:t xml:space="preserve">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colegioController.ts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Directivos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Estructura Escolar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tipo_grado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</w:t>
            </w:r>
          </w:p>
        </w:tc>
        <w:tc>
          <w:tcPr/>
          <w:p>
            <w:pPr>
              <w:pStyle w:val="Compact"/>
            </w:pPr>
            <w:r>
              <w:t xml:space="preserve">Matrículas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documento_matricula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</w:t>
            </w:r>
          </w:p>
        </w:tc>
        <w:tc>
          <w:tcPr/>
          <w:p>
            <w:pPr>
              <w:pStyle w:val="Compact"/>
            </w:pPr>
            <w:r>
              <w:t xml:space="preserve">Configuración Académica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periodo_academico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escala_valoracion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</w:t>
            </w:r>
          </w:p>
        </w:tc>
        <w:tc>
          <w:tcPr/>
          <w:p>
            <w:pPr>
              <w:pStyle w:val="Compact"/>
            </w:pPr>
            <w:r>
              <w:t xml:space="preserve">Competencias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competencia_sincronizada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Catálogo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dba_catalogo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evidencia_dba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dbaController.ts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</w:t>
            </w:r>
          </w:p>
        </w:tc>
        <w:tc>
          <w:tcPr/>
          <w:p>
            <w:pPr>
              <w:pStyle w:val="Compact"/>
            </w:pPr>
            <w:r>
              <w:t xml:space="preserve">Calificaciones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actividad_materia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gradingController.ts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</w:t>
            </w:r>
          </w:p>
        </w:tc>
        <w:tc>
          <w:tcPr/>
          <w:p>
            <w:pPr>
              <w:pStyle w:val="Compact"/>
            </w:pPr>
            <w: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</w:t>
            </w:r>
          </w:p>
        </w:tc>
        <w:tc>
          <w:tcPr/>
          <w:p>
            <w:pPr>
              <w:pStyle w:val="Compact"/>
            </w:pPr>
            <w:r>
              <w:t xml:space="preserve">Cierre y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resultado_academico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boletinController.ts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</w:t>
            </w:r>
          </w:p>
        </w:tc>
        <w:tc>
          <w:tcPr/>
          <w:p>
            <w:pPr>
              <w:pStyle w:val="Compact"/>
            </w:pPr>
            <w:r>
              <w:t xml:space="preserve">Supervisión y 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auditoria_supervision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adminGeneralController.ts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Soporte y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</w:t>
            </w:r>
          </w:p>
        </w:tc>
        <w:tc>
          <w:tcPr/>
          <w:p>
            <w:pPr>
              <w:pStyle w:val="Compact"/>
            </w:pPr>
            <w:r>
              <w:t xml:space="preserve">Gestión de Padres de 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padre_familia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parentManagementController.ts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TRS</w:t>
            </w:r>
          </w:p>
        </w:tc>
        <w:tc>
          <w:tcPr/>
          <w:p>
            <w:pPr>
              <w:pStyle w:val="Compact"/>
            </w:pPr>
            <w:r>
              <w:t xml:space="preserve">Gestión de 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solicitud_traslado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traslado_aprobacion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trasladoController.ts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Seguimiento y Promoción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academicTrackingController.ts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Seguimiento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</w:pPr>
            <w:r>
              <w:t xml:space="preserve">(Frontend Store Auth &amp; Controllers)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Flujo Correos y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codigo_verificacion_email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notificationService.ts</w:t>
            </w:r>
          </w:p>
        </w:tc>
      </w:tr>
    </w:tbl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file:///c:/Users/alejo/Downloads/segundoProyecto/guides/AcademiaNeivaBD.sql" TargetMode="External" /><Relationship Type="http://schemas.openxmlformats.org/officeDocument/2006/relationships/hyperlink" Id="rId13" Target="file:///c:/Users/alejo/Downloads/segundoProyecto/guides/AcademiaNeiva_Documentacion_Tecnica_Integral.md" TargetMode="External" /><Relationship Type="http://schemas.openxmlformats.org/officeDocument/2006/relationships/hyperlink" Id="rId11" Target="file:///c:/Users/alejo/Downloads/segundoProyecto/guides/AcademiaNeiva_Documento_Funcional.md" TargetMode="External" /><Relationship Type="http://schemas.openxmlformats.org/officeDocument/2006/relationships/hyperlink" Id="rId23" Target="file:///c:/Users/alejo/Downloads/segundoProyecto/guides/AcademiaNeiva_Documento_Funcional.md#2-academianeiva-propuesta-de-valor-y-negocio" TargetMode="External" /><Relationship Type="http://schemas.openxmlformats.org/officeDocument/2006/relationships/hyperlink" Id="rId12" Target="file:///c:/Users/alejo/Downloads/segundoProyecto/guides/AcademiaNeiva_Documento_Tecnico.md" TargetMode="External" /><Relationship Type="http://schemas.openxmlformats.org/officeDocument/2006/relationships/hyperlink" Id="rId24" Target="file:///c:/Users/alejo/Downloads/segundoProyecto/guides/AcademiaNeiva_Documento_Tecnico.md#2-arquitectura-de-software" TargetMode="External" /><Relationship Type="http://schemas.openxmlformats.org/officeDocument/2006/relationships/hyperlink" Id="rId14" Target="file:///c:/Users/alejo/Downloads/segundoProyecto/guides/modules/mapa_documentac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:///c:/Users/alejo/Downloads/segundoProyecto/guides/AcademiaNeivaBD.sql" TargetMode="External" /><Relationship Type="http://schemas.openxmlformats.org/officeDocument/2006/relationships/hyperlink" Id="rId13" Target="file:///c:/Users/alejo/Downloads/segundoProyecto/guides/AcademiaNeiva_Documentacion_Tecnica_Integral.md" TargetMode="External" /><Relationship Type="http://schemas.openxmlformats.org/officeDocument/2006/relationships/hyperlink" Id="rId11" Target="file:///c:/Users/alejo/Downloads/segundoProyecto/guides/AcademiaNeiva_Documento_Funcional.md" TargetMode="External" /><Relationship Type="http://schemas.openxmlformats.org/officeDocument/2006/relationships/hyperlink" Id="rId23" Target="file:///c:/Users/alejo/Downloads/segundoProyecto/guides/AcademiaNeiva_Documento_Funcional.md#2-academianeiva-propuesta-de-valor-y-negocio" TargetMode="External" /><Relationship Type="http://schemas.openxmlformats.org/officeDocument/2006/relationships/hyperlink" Id="rId12" Target="file:///c:/Users/alejo/Downloads/segundoProyecto/guides/AcademiaNeiva_Documento_Tecnico.md" TargetMode="External" /><Relationship Type="http://schemas.openxmlformats.org/officeDocument/2006/relationships/hyperlink" Id="rId24" Target="file:///c:/Users/alejo/Downloads/segundoProyecto/guides/AcademiaNeiva_Documento_Tecnico.md#2-arquitectura-de-software" TargetMode="External" /><Relationship Type="http://schemas.openxmlformats.org/officeDocument/2006/relationships/hyperlink" Id="rId14" Target="file:///c:/Users/alejo/Downloads/segundoProyecto/guides/modules/mapa_documentac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2026-08-17T23:16:59Z</dcterms:created>
  <dcterms:modified xsi:type="dcterms:W3CDTF">2026-08-17T23:16:59Z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