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daeb1e919288c18db089934f1bf4a417c48a34"/>
    <w:p>
      <w:pPr>
        <w:pStyle w:val="Heading1"/>
      </w:pPr>
      <w:r>
        <w:t xml:space="preserve">Reglas de Negocio — Competencias Pedagógicas y Sincronización en Caliente</w:t>
      </w:r>
    </w:p>
    <w:p>
      <w:pPr>
        <w:pStyle w:val="FirstParagraph"/>
      </w:pPr>
      <w:r>
        <w:t xml:space="preserve">Este documento detalla las reglas de negocio técnicas y funcionales del módulo de</w:t>
      </w:r>
      <w:r>
        <w:t xml:space="preserve"> </w:t>
      </w:r>
      <w:r>
        <w:rPr>
          <w:b/>
          <w:bCs/>
        </w:rPr>
        <w:t xml:space="preserve">Competencias y Sincronización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5" w:name="X3b2e5a6516a8dab6c1fb092d7df72010c6d16e3"/>
    <w:p>
      <w:pPr>
        <w:pStyle w:val="Heading2"/>
      </w:pPr>
      <w:r>
        <w:t xml:space="preserve">1. Estructura y Sincronización de Competencias</w:t>
      </w:r>
    </w:p>
    <w:bookmarkStart w:id="11" w:name="Xdc8d49b42a967f333841cefbd0b3cb0b9a23a24"/>
    <w:p>
      <w:pPr>
        <w:pStyle w:val="Heading3"/>
      </w:pPr>
      <w:r>
        <w:t xml:space="preserve">RN-COMP-001: Multicompetencias por Asignatura y Periodo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permite registrar múltiples competencias independientes para la misma combinación de grupo, materia y periodo académico, habiéndose removido restricciones unívocas obsoletas (</w:t>
      </w:r>
      <w:r>
        <w:rPr>
          <w:rStyle w:val="VerbatimChar"/>
        </w:rPr>
        <w:t xml:space="preserve">competencias_unique_context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Otorga flexibilidad pedagógica para estructurar planes de estudio con múltiples objetivos de aprendizaje dentro de un mismo periodo.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competencyMigration.ts</w:t>
        </w:r>
      </w:hyperlink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curriculumController.ts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HU-COMP-001</w:t>
      </w:r>
    </w:p>
    <w:p>
      <w:r>
        <w:pict>
          <v:rect style="width:0;height:1.5pt" o:hralign="center" o:hrstd="t" o:hr="t"/>
        </w:pict>
      </w:r>
    </w:p>
    <w:bookmarkEnd w:id="11"/>
    <w:bookmarkStart w:id="12" w:name="Xa9f7f04ec428249bafe21cb201ccff30af40be3"/>
    <w:p>
      <w:pPr>
        <w:pStyle w:val="Heading3"/>
      </w:pPr>
      <w:r>
        <w:t xml:space="preserve">RN-COMP-002: Sincronización Atómica en Caliente vía</w:t>
      </w:r>
      <w:r>
        <w:t xml:space="preserve"> </w:t>
      </w:r>
      <w:r>
        <w:rPr>
          <w:rStyle w:val="VerbatimChar"/>
        </w:rPr>
        <w:t xml:space="preserve">sync_uuid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crear una competencia para un curso (</w:t>
      </w:r>
      <w:r>
        <w:rPr>
          <w:rStyle w:val="VerbatimChar"/>
        </w:rPr>
        <w:t xml:space="preserve">id_grupo</w:t>
      </w:r>
      <w:r>
        <w:t xml:space="preserve">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syncCompetencyAcrossGrade</w:t>
      </w:r>
      <w:r>
        <w:t xml:space="preserve"> </w:t>
      </w:r>
      <w:r>
        <w:t xml:space="preserve">consulta todos los cursos paralelos del mismo nivel y tipo de grado (</w:t>
      </w:r>
      <w:r>
        <w:rPr>
          <w:rStyle w:val="VerbatimChar"/>
        </w:rPr>
        <w:t xml:space="preserve">getGradePeerGroups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Genera un identificador único criptográfico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(</w:t>
      </w:r>
      <w:r>
        <w:rPr>
          <w:rStyle w:val="VerbatimChar"/>
        </w:rPr>
        <w:t xml:space="preserve">crypto.randomUUID()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Inserta una fila de competencia para cada curso paralelo dentro de una sola transacción SQL atómica, compartiendo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uniformidad curricular entre cursos paralelos (ej. Primero A, B y C) y evita desajustes pedagógicos.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9">
        <w:r>
          <w:rPr>
            <w:rStyle w:val="Hyperlink"/>
          </w:rPr>
          <w:t xml:space="preserve">competencyMigration.ts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syncCompetencyAcrossGrade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hyperlink r:id="rId10">
        <w:r>
          <w:rPr>
            <w:rStyle w:val="Hyperlink"/>
          </w:rPr>
          <w:t xml:space="preserve">curriculumController.ts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HU-COMP-002</w:t>
      </w:r>
    </w:p>
    <w:p>
      <w:r>
        <w:pict>
          <v:rect style="width:0;height:1.5pt" o:hralign="center" o:hrstd="t" o:hr="t"/>
        </w:pict>
      </w:r>
    </w:p>
    <w:bookmarkEnd w:id="12"/>
    <w:bookmarkStart w:id="14" w:name="X6bb047f3d5e2d7909d89b77a0e1fd7e372d194f"/>
    <w:p>
      <w:pPr>
        <w:pStyle w:val="Heading3"/>
      </w:pPr>
      <w:r>
        <w:t xml:space="preserve">RN-COMP-003: Propagación Masiva de Ediciones Curriculares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editar la descripción o dimensión de una competencia (sea por directivo en</w:t>
      </w:r>
      <w:r>
        <w:t xml:space="preserve"> </w:t>
      </w:r>
      <w:r>
        <w:rPr>
          <w:rStyle w:val="VerbatimChar"/>
        </w:rPr>
        <w:t xml:space="preserve">upsertCompetencyByAdmin</w:t>
      </w:r>
      <w:r>
        <w:t xml:space="preserve"> </w:t>
      </w:r>
      <w:r>
        <w:t xml:space="preserve">o por docente en</w:t>
      </w:r>
      <w:r>
        <w:t xml:space="preserve"> </w:t>
      </w:r>
      <w:r>
        <w:rPr>
          <w:rStyle w:val="VerbatimChar"/>
        </w:rPr>
        <w:t xml:space="preserve">updateCompetency</w:t>
      </w:r>
      <w:r>
        <w:t xml:space="preserve">), el backend propaga la modificación a todos los registros que compartan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en una sola transacción atómica.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Mantiene sincronizadas las actualizaciones curriculares en todos los paralelos sin exigir ediciones repetitivas.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9">
        <w:r>
          <w:rPr>
            <w:rStyle w:val="Hyperlink"/>
          </w:rPr>
          <w:t xml:space="preserve">competencyMigration.ts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syncCompetencyAcrossGrade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hyperlink r:id="rId13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updateCompetency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PUT /api/teacher/competencies/:id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HU-COMP-002, HU-COMP-005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gestión-de-evidencias-de-aprendizaje"/>
    <w:p>
      <w:pPr>
        <w:pStyle w:val="Heading2"/>
      </w:pPr>
      <w:r>
        <w:t xml:space="preserve">2. Gestión de Evidencias de Aprendizaje</w:t>
      </w:r>
    </w:p>
    <w:bookmarkStart w:id="16" w:name="X969d0cb75032daca613bc6a256a6f6181040508"/>
    <w:p>
      <w:pPr>
        <w:pStyle w:val="Heading3"/>
      </w:pPr>
      <w:r>
        <w:t xml:space="preserve">RN-COMP-004: Inyección Automática de Evidencias Formativas por Defecto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una competencia se crea sin asociar evidencias oficiales de DBA, la función</w:t>
      </w:r>
      <w:r>
        <w:t xml:space="preserve"> </w:t>
      </w:r>
      <w:r>
        <w:rPr>
          <w:rStyle w:val="VerbatimChar"/>
        </w:rPr>
        <w:t xml:space="preserve">ensureDefaultEvidencias</w:t>
      </w:r>
      <w:r>
        <w:t xml:space="preserve"> </w:t>
      </w:r>
      <w:r>
        <w:t xml:space="preserve">le inserta automáticamente 3 evidencias formativas estándar: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“Reconoce y aplica los conceptos fundamentales de la unidad temática.”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“Demuestra capacidad analítica y pensamiento crítico en la resolución de problemas.”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“Participa activamente y colabora con sus compañeros en el entorno de aprendizaje.”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que toda competencia disponga de indicadores de evaluación formativa inmediatos para las actividades de aula del docente.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3"/>
        </w:numPr>
      </w:pPr>
      <w:hyperlink r:id="rId9">
        <w:r>
          <w:rPr>
            <w:rStyle w:val="Hyperlink"/>
          </w:rPr>
          <w:t xml:space="preserve">competencyMigration.ts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ensureDefaultEvidencias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HU-COMP-001</w:t>
      </w:r>
    </w:p>
    <w:p>
      <w:r>
        <w:pict>
          <v:rect style="width:0;height:1.5pt" o:hralign="center" o:hrstd="t" o:hr="t"/>
        </w:pict>
      </w:r>
    </w:p>
    <w:bookmarkEnd w:id="16"/>
    <w:bookmarkStart w:id="17" w:name="X1a57a5de16e15937ed31072b33cf72d12f6207a"/>
    <w:p>
      <w:pPr>
        <w:pStyle w:val="Heading3"/>
      </w:pPr>
      <w:r>
        <w:t xml:space="preserve">RN-COMP-005: Vinculación Exclusiva de Evidencias DBA y Reemplazo Limpio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asociar evidencias oficiales del catálogo DBA a una competencia (</w:t>
      </w:r>
      <w:r>
        <w:rPr>
          <w:rStyle w:val="VerbatimChar"/>
        </w:rPr>
        <w:t xml:space="preserve">id_evidencias_dba</w:t>
      </w:r>
      <w:r>
        <w:t xml:space="preserve">):</w:t>
      </w:r>
    </w:p>
    <w:p>
      <w:pPr>
        <w:pStyle w:val="Compact"/>
        <w:numPr>
          <w:ilvl w:val="1"/>
          <w:numId w:val="1016"/>
        </w:numPr>
      </w:pPr>
      <w:r>
        <w:t xml:space="preserve">El sistema valida que ninguna de las evidencias seleccionadas esté asignada a otra competencia del mismo año, materia y grado en un periodo diferente (</w:t>
      </w:r>
      <w:r>
        <w:rPr>
          <w:rStyle w:val="VerbatimChar"/>
        </w:rPr>
        <w:t xml:space="preserve">alreadyAssignedRes</w:t>
      </w:r>
      <w:r>
        <w:t xml:space="preserve">), retornando error si hay colisión.</w:t>
      </w:r>
    </w:p>
    <w:p>
      <w:pPr>
        <w:pStyle w:val="Compact"/>
        <w:numPr>
          <w:ilvl w:val="1"/>
          <w:numId w:val="1016"/>
        </w:numPr>
      </w:pPr>
      <w:r>
        <w:t xml:space="preserve">Al confirmarse la vinculación, elimina las 3 evidencias por defecto autogeneradas y replica las evidencias oficiales de DBA en todos los cursos paralelos (</w:t>
      </w:r>
      <w:r>
        <w:rPr>
          <w:rStyle w:val="VerbatimChar"/>
        </w:rPr>
        <w:t xml:space="preserve">sync_uuid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coherencia curricular con los estándares del MEN y evita la doble evaluación de un mismo DBA en periodos distintos.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10">
        <w:r>
          <w:rPr>
            <w:rStyle w:val="Hyperlink"/>
          </w:rPr>
          <w:t xml:space="preserve">curriculumController.ts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HU-COMP-003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rotección-de-uso-y-bloqueos-por-cierre"/>
    <w:p>
      <w:pPr>
        <w:pStyle w:val="Heading2"/>
      </w:pPr>
      <w:r>
        <w:t xml:space="preserve">3. Protección de Uso y Bloqueos por Cierre</w:t>
      </w:r>
    </w:p>
    <w:bookmarkStart w:id="20" w:name="Xa63a08e2adb90ed54f0d13a95ab80944e9b1f2d"/>
    <w:p>
      <w:pPr>
        <w:pStyle w:val="Heading3"/>
      </w:pPr>
      <w:r>
        <w:t xml:space="preserve">RN-COMP-006: Protección contra Eliminaciones Destructivas (</w:t>
      </w:r>
      <w:r>
        <w:rPr>
          <w:rStyle w:val="VerbatimChar"/>
        </w:rPr>
        <w:t xml:space="preserve">usage-check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Una competencia no puede eliminarse (</w:t>
      </w:r>
      <w:r>
        <w:rPr>
          <w:rStyle w:val="VerbatimChar"/>
        </w:rPr>
        <w:t xml:space="preserve">deleteCompetencyByAdmin</w:t>
      </w:r>
      <w:r>
        <w:t xml:space="preserve">) si cuenta con al menos una actividad evaluativa registrada en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 </w:t>
      </w:r>
      <w:r>
        <w:t xml:space="preserve">o calificaciones en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. El endpoint</w:t>
      </w:r>
      <w:r>
        <w:t xml:space="preserve"> </w:t>
      </w:r>
      <w:r>
        <w:rPr>
          <w:rStyle w:val="VerbatimChar"/>
        </w:rPr>
        <w:t xml:space="preserve">/usage-check</w:t>
      </w:r>
      <w:r>
        <w:t xml:space="preserve"> </w:t>
      </w:r>
      <w:r>
        <w:t xml:space="preserve">entrega el desglose de docentes y actividades vinculadas, y el intento de borrado responde con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la pérdida de notas y la corrupción de los registros evaluativos de los estudiantes.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hyperlink r:id="rId10">
        <w:r>
          <w:rPr>
            <w:rStyle w:val="Hyperlink"/>
          </w:rPr>
          <w:t xml:space="preserve">curriculumController.ts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checkCompetenciaUsage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deleteCompetencyByAdmin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hyperlink r:id="rId19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GET /api/academic-admin/settings/competencies/:id/usage-check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DELETE /api/academic-admin/settings/competencies/:id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HU-COMP-004</w:t>
      </w:r>
    </w:p>
    <w:p>
      <w:r>
        <w:pict>
          <v:rect style="width:0;height:1.5pt" o:hralign="center" o:hrstd="t" o:hr="t"/>
        </w:pict>
      </w:r>
    </w:p>
    <w:bookmarkEnd w:id="20"/>
    <w:bookmarkStart w:id="21" w:name="X409c78c7f379fceb50a39139a7c2a7dd155d54f"/>
    <w:p>
      <w:pPr>
        <w:pStyle w:val="Heading3"/>
      </w:pPr>
      <w:r>
        <w:t xml:space="preserve">RN-COMP-007: Doble Bloqueo por Cierre Institucional y de Materia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Bloqueo Institucional:</w:t>
      </w:r>
      <w:r>
        <w:t xml:space="preserve"> </w:t>
      </w:r>
      <w:r>
        <w:t xml:space="preserve">Se prohíbe crear, editar o eliminar competencias si</w:t>
      </w:r>
      <w:r>
        <w:t xml:space="preserve"> </w:t>
      </w:r>
      <w:r>
        <w:rPr>
          <w:rStyle w:val="VerbatimChar"/>
        </w:rPr>
        <w:t xml:space="preserve">periodo_academico.estado === 'CERRADO'</w:t>
      </w:r>
      <w:r>
        <w:t xml:space="preserve"> </w:t>
      </w:r>
      <w:r>
        <w:t xml:space="preserve">(</w:t>
      </w:r>
      <w:r>
        <w:rPr>
          <w:rStyle w:val="VerbatimChar"/>
        </w:rPr>
        <w:t xml:space="preserve">409 Conflict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Bloqueo Docente:</w:t>
      </w:r>
      <w:r>
        <w:t xml:space="preserve"> </w:t>
      </w:r>
      <w:r>
        <w:t xml:space="preserve">Un docente no puede modificar la competencia (</w:t>
      </w:r>
      <w:r>
        <w:rPr>
          <w:rStyle w:val="VerbatimChar"/>
        </w:rPr>
        <w:t xml:space="preserve">updateCompetency</w:t>
      </w:r>
      <w:r>
        <w:t xml:space="preserve">) si ya efectuó el cierre de su materia en ese periodo mediante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(</w:t>
      </w:r>
      <w:r>
        <w:rPr>
          <w:rStyle w:val="VerbatimChar"/>
        </w:rPr>
        <w:t xml:space="preserve">ensureSubjectOpen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inmutabilidad de las calificaciones y planes de estudio en periodos y materias formalmente clausuradas.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4"/>
        </w:numPr>
      </w:pPr>
      <w:hyperlink r:id="rId10">
        <w:r>
          <w:rPr>
            <w:rStyle w:val="Hyperlink"/>
          </w:rPr>
          <w:t xml:space="preserve">curriculumController.ts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deleteCompetencyByAdmin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createEvidencia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hyperlink r:id="rId13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updateCompetency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PUT /api/teacher/competencies/:id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HU-COMP-005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fig/competencyMigration.ts" TargetMode="External" /><Relationship Type="http://schemas.openxmlformats.org/officeDocument/2006/relationships/hyperlink" Id="rId10" Target="file:///c:/Users/alejo/Downloads/segundoProyecto/backend/src/controllers/academicAdmin/curriculumController.ts" TargetMode="Externa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19" Target="file:///c:/Users/alejo/Downloads/segundoProyecto/frontend/src/views/admin/AcademicCompetencie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fig/competencyMigration.ts" TargetMode="External" /><Relationship Type="http://schemas.openxmlformats.org/officeDocument/2006/relationships/hyperlink" Id="rId10" Target="file:///c:/Users/alejo/Downloads/segundoProyecto/backend/src/controllers/academicAdmin/curriculumController.ts" TargetMode="Externa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19" Target="file:///c:/Users/alejo/Downloads/segundoProyecto/frontend/src/views/admin/AcademicCompetencie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