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ódulo-de-gestión-de-padres-de-familia"/>
    <w:p>
      <w:pPr>
        <w:pStyle w:val="Heading1"/>
      </w:pPr>
      <w:r>
        <w:t xml:space="preserve">👨‍👩‍👧‍👦 Módulo de Gestión de Padres de Familia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Padres de Familia (Acudientes)</w:t>
      </w:r>
      <w:r>
        <w:t xml:space="preserve"> </w:t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2026-08-03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 los directivos del colegio gestionar y realizar el seguimiento integral de los padres de familia y acudientes registrados en la institución. Facilita la consulta centralizada de acudientes con tarjetas métricas de control (total de padres, acudientes con alertas académicas/disciplinarias en sus hijos, y acudientes que simultáneamente ejercen como docentes), la aplicación de filtros avanzados (por nivel, grado, jornada, alertas del alumno, docentes-padres y estado de cuenta estandarizado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Inactivo</w:t>
      </w:r>
      <w:r>
        <w:t xml:space="preserve">), la visualización en detalle de la ficha del acudiente junto a sus estudiantes a cargo (promedios, asistencias, observaciones), la actualización de datos de contacto, la activación/inactivación atómica de la cuenta de usuario con revocación de sesión, y la capacidad de realizar seguimiento de su portal mediante el</w:t>
      </w:r>
      <w:r>
        <w:t xml:space="preserve"> </w:t>
      </w:r>
      <w:r>
        <w:rPr>
          <w:b/>
          <w:bCs/>
        </w:rPr>
        <w:t xml:space="preserve">Modo Monitoreo / Espejo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1"/>
        <w:gridCol w:w="67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Consulta, búsqueda avanzada, edición de datos de contacto, activación/inactivación de cuenta de acudientes e inicio de monitoreo en modo espejo.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Padre de Familia</w:t>
            </w:r>
          </w:p>
        </w:tc>
        <w:tc>
          <w:tcPr/>
          <w:p>
            <w:pPr>
              <w:pStyle w:val="Compact"/>
            </w:pPr>
            <w:r>
              <w:t xml:space="preserve">Consulta de las notas, asistencias, observador y boletines de sus hijos asociados en el portal de padres.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indirecta a través de la ficha del estudiante o su propio perfil en caso de poseer doble rol (</w:t>
            </w:r>
            <w:r>
              <w:rPr>
                <w:rStyle w:val="VerbatimChar"/>
              </w:rPr>
              <w:t xml:space="preserve">Padre + Docente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 General</w:t>
            </w:r>
          </w:p>
        </w:tc>
        <w:tc>
          <w:tcPr/>
          <w:p>
            <w:pPr>
              <w:pStyle w:val="Compact"/>
            </w:pPr>
            <w:r>
              <w:t xml:space="preserve">Acceso en modo supervisión sobre el colegio.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86"/>
        <w:gridCol w:w="3195"/>
        <w:gridCol w:w="9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padres con métricas y 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/api/parents/school/:schoolId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ficha detallada del padre e hijos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/api/parents/:id/details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datos de contacto del padre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Activar o Inactivar cuenta del padre de familia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/api/parents/:id/status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Iniciar seguimiento en Modo Monitoreo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(Frontend Store Auth -</w:t>
            </w:r>
            <w:r>
              <w:rPr>
                <w:rStyle w:val="VerbatimChar"/>
              </w:rPr>
              <w:t xml:space="preserve">startParentMonitoring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RN-PAD-001 (Estandarización de Estado de Cuenta):</w:t>
      </w:r>
      <w:r>
        <w:t xml:space="preserve"> </w:t>
      </w:r>
      <w:r>
        <w:t xml:space="preserve">El estado de la cuenta del padre se consolida a dos valores únicos en interfaz (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), evaluando conjuntamente</w:t>
      </w:r>
      <w:r>
        <w:t xml:space="preserve"> </w:t>
      </w:r>
      <w:r>
        <w:rPr>
          <w:rStyle w:val="VerbatimChar"/>
        </w:rPr>
        <w:t xml:space="preserve">usuario.activo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padre_familia.estado</w:t>
      </w:r>
      <w:r>
        <w:t xml:space="preserve"> </w:t>
      </w:r>
      <w:r>
        <w:t xml:space="preserve">y la inhabilitación por timestamp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RN-PAD-002 (Inactivación Atómica de Sesión):</w:t>
      </w:r>
      <w:r>
        <w:t xml:space="preserve"> </w:t>
      </w:r>
      <w:r>
        <w:t xml:space="preserve">Al inactivar la cuenta de un padre (</w:t>
      </w:r>
      <w:r>
        <w:rPr>
          <w:rStyle w:val="VerbatimChar"/>
        </w:rPr>
        <w:t xml:space="preserve">activo = false</w:t>
      </w:r>
      <w:r>
        <w:t xml:space="preserve">), el backend actualiza de forma atómica la tabla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, invalida la cuenta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 timestamp actual en</w:t>
      </w:r>
      <w:r>
        <w:t xml:space="preserve"> </w:t>
      </w:r>
      <w:r>
        <w:rPr>
          <w:rStyle w:val="VerbatimChar"/>
        </w:rPr>
        <w:t xml:space="preserve">usuario.logged_out_at</w:t>
      </w:r>
      <w:r>
        <w:t xml:space="preserve">, revocando de inmediato cualquier token JWT activo.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RN-PAD-003 (Detección y Notificación de Doble Rol):</w:t>
      </w:r>
      <w:r>
        <w:t xml:space="preserve"> </w:t>
      </w:r>
      <w:r>
        <w:t xml:space="preserve">El backend identifica mediante coincidencia de documento o correo si el acudiente también se encuentra registrado como docente de la institución (</w:t>
      </w:r>
      <w:r>
        <w:rPr>
          <w:rStyle w:val="VerbatimChar"/>
        </w:rPr>
        <w:t xml:space="preserve">es_docente = true</w:t>
      </w:r>
      <w:r>
        <w:t xml:space="preserve">), desplegando el distintivo visual</w:t>
      </w:r>
      <w:r>
        <w:t xml:space="preserve"> </w:t>
      </w:r>
      <w:r>
        <w:rPr>
          <w:rStyle w:val="VerbatimChar"/>
        </w:rPr>
        <w:t xml:space="preserve">👨‍🏫 También es Docente</w:t>
      </w:r>
      <w:r>
        <w:t xml:space="preserve"> </w:t>
      </w:r>
      <w:r>
        <w:t xml:space="preserve">y exponiendo su correo institucional secundario (</w:t>
      </w:r>
      <w:r>
        <w:rPr>
          <w:rStyle w:val="VerbatimChar"/>
        </w:rPr>
        <w:t xml:space="preserve">email_docente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RN-PAD-004 (Restricción de Seguridad en Modo Monitoreo):</w:t>
      </w:r>
      <w:r>
        <w:t xml:space="preserve"> </w:t>
      </w:r>
      <w:r>
        <w:t xml:space="preserve">Durante una sesión de monitoreo en modo espejo realizada por un directivo, el sistema bloquea y oculta completamente el módulo de Soporte Técnico (</w:t>
      </w:r>
      <w:r>
        <w:rPr>
          <w:rStyle w:val="VerbatimChar"/>
        </w:rPr>
        <w:t xml:space="preserve">/support</w:t>
      </w:r>
      <w:r>
        <w:t xml:space="preserve">) para prevenir la creación o manipulación no autorizada de tickets a nombre del acudiente.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RN-PAD-005 (Filtro Especial de Alertas del Estudiante):</w:t>
      </w:r>
      <w:r>
        <w:t xml:space="preserve"> </w:t>
      </w:r>
      <w:r>
        <w:t xml:space="preserve">El listado de acudientes calcula mediante subconsultas optimizadas (CTEs) si los hijos del padre presentan alguna alerta activa en el periodo lectivo en curso (asistencia &lt; 80%, promedio académico &lt; 3.0 o faltas disciplinarias registradas), permitiendo al directivo priorizar la atención de familias vulnerables.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RN-PAD-006 (Sincronización con el Año Lectivo Activo):</w:t>
      </w:r>
      <w:r>
        <w:t xml:space="preserve"> </w:t>
      </w:r>
      <w:r>
        <w:t xml:space="preserve">El módulo responde dinámicamente al selector global de Año Lectivo (</w:t>
      </w:r>
      <w:r>
        <w:rPr>
          <w:rStyle w:val="VerbatimChar"/>
        </w:rPr>
        <w:t xml:space="preserve">useAcademicYearStore</w:t>
      </w:r>
      <w:r>
        <w:t xml:space="preserve">). Al cambiar el año seleccionado en la barra superior, la consola recalcula en tiempo real la lista de acudientes, así como los grados, matrículas y métricas académicas de los hijos asociados a ese año lectivo específico.</w:t>
      </w:r>
    </w:p>
    <w:p>
      <w:r>
        <w:pict>
          <v:rect style="width:0;height:1.5pt" o:hralign="center" o:hrstd="t" o:hr="t"/>
        </w:pict>
      </w:r>
    </w:p>
    <w:bookmarkEnd w:id="12"/>
    <w:bookmarkStart w:id="26" w:name="implementación"/>
    <w:p>
      <w:pPr>
        <w:pStyle w:val="Heading2"/>
      </w:pPr>
      <w:r>
        <w:t xml:space="preserve">5. Implementación</w:t>
      </w:r>
    </w:p>
    <w:bookmarkStart w:id="16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69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parentManagementController.ts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getSchoolParents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getParentDetails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updateParentInfo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updateParentAccountStatus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parent.routes.ts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Servicios de Autenticación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 Validación de</w:t>
            </w:r>
            <w:r>
              <w:t xml:space="preserve"> </w:t>
            </w:r>
            <w:r>
              <w:rPr>
                <w:rStyle w:val="VerbatimChar"/>
              </w:rPr>
              <w:t xml:space="preserve">logged_out_at</w:t>
            </w:r>
            <w:r>
              <w:t xml:space="preserve"> </w:t>
            </w:r>
            <w:r>
              <w:t xml:space="preserve">y tokens JWT</w:t>
            </w:r>
          </w:p>
        </w:tc>
      </w:tr>
    </w:tbl>
    <w:bookmarkEnd w:id="16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7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Directiva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ParentManagement.vue</w:t>
              </w:r>
            </w:hyperlink>
            <w:r>
              <w:t xml:space="preserve"> </w:t>
            </w:r>
            <w:r>
              <w:t xml:space="preserve">— Vista principal con métricas, tarjetas, filtros, drawer de detalles y modal de edición.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de Autenticación y Monitoreo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auth.ts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startParentMonitoring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stopMonitoring</w:t>
            </w:r>
            <w:r>
              <w:t xml:space="preserve">, soporte de</w:t>
            </w:r>
            <w:r>
              <w:t xml:space="preserve"> </w:t>
            </w:r>
            <w:r>
              <w:rPr>
                <w:rStyle w:val="VerbatimChar"/>
              </w:rPr>
              <w:t xml:space="preserve">monitoringType = 'padre'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 del Sistema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DashboardLayout.vue</w:t>
              </w:r>
            </w:hyperlink>
            <w:r>
              <w:t xml:space="preserve"> </w:t>
            </w:r>
            <w:r>
              <w:t xml:space="preserve">— Barra superior de monitoreo, navegación restringida y cierre de sesión de monitoreo.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Portal del Padre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ParentDashboard.vue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ParentGradesView.vue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ParentAttendanceView.vue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ParentObservationsView.vue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ParentBoletinView.vue</w:t>
              </w:r>
            </w:hyperlink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de-datos"/>
    <w:p>
      <w:pPr>
        <w:pStyle w:val="Heading2"/>
      </w:pPr>
      <w:r>
        <w:t xml:space="preserve">6. Modelo de Datos</w:t>
      </w:r>
    </w:p>
    <w:bookmarkStart w:id="27" w:name="tabla-padre_famil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padre_familia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250"/>
        <w:gridCol w:w="4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padre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Nombres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Apellidos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Documento de identidad del acudiente.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tipo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Número telefónico de contacto.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Dirección de residencia.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 la cuenta de usuario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Estado administrativo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).</w:t>
            </w:r>
          </w:p>
        </w:tc>
      </w:tr>
    </w:tbl>
    <w:bookmarkEnd w:id="27"/>
    <w:bookmarkStart w:id="28" w:name="X18eb9fdc8d6135ce3989f383ecc8af63afacbdb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(Relación Acudiente-Estudiante)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3"/>
        <w:gridCol w:w="976"/>
        <w:gridCol w:w="43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id_detallepadrefamilia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 la relación parentesco.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id_padrefamilia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padre de familia.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estudiante representado.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en el que aplica la relación.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Controla la sesión y activación de usuarios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revocando tokens cuando la cuenta pasa a inactiva mediante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Estudiantes y Estados</w:t>
      </w:r>
      <w:r>
        <w:t xml:space="preserve">: Relaciona a los estudiantes matriculados a través de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para presentar alertas de asistencia, notas y observaciones acumuladas.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Docentes</w:t>
      </w:r>
      <w:r>
        <w:t xml:space="preserve">: Realiza la verificación cruzada de documento/email para detectar personal institucional con hijos matriculados (Doble Rol).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Soporte y Tickets</w:t>
      </w:r>
      <w:r>
        <w:t xml:space="preserve">: Aplica la regla de bloqueo de seguridad durante el seguimiento en modo espejo para impedir la suplantación en el canal de tickets.</w:t>
      </w:r>
    </w:p>
    <w:p>
      <w:r>
        <w:pict>
          <v:rect style="width:0;height:1.5pt" o:hralign="center" o:hrstd="t" o:hr="t"/>
        </w:pict>
      </w:r>
    </w:p>
    <w:bookmarkEnd w:id="30"/>
    <w:bookmarkStart w:id="33" w:name="validaciones-implementadas"/>
    <w:p>
      <w:pPr>
        <w:pStyle w:val="Heading2"/>
      </w:pPr>
      <w:r>
        <w:t xml:space="preserve">8. Validaciones Implementadas</w:t>
      </w:r>
    </w:p>
    <w:bookmarkStart w:id="31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Filtrado estricto por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garantizando aislamiento multi-tenant absoluto.</w:t>
      </w:r>
    </w:p>
    <w:p>
      <w:pPr>
        <w:pStyle w:val="Compact"/>
        <w:numPr>
          <w:ilvl w:val="0"/>
          <w:numId w:val="1003"/>
        </w:numPr>
      </w:pPr>
      <w:r>
        <w:t xml:space="preserve">Búsqueda insensible a mayúsculas/minúsculas y acentos (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) en consultas de texto.</w:t>
      </w:r>
    </w:p>
    <w:p>
      <w:pPr>
        <w:pStyle w:val="Compact"/>
        <w:numPr>
          <w:ilvl w:val="0"/>
          <w:numId w:val="1003"/>
        </w:numPr>
      </w:pPr>
      <w:r>
        <w:t xml:space="preserve">Transacciones SQL atómicas para actualizar simultáneamente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.</w:t>
      </w:r>
    </w:p>
    <w:bookmarkEnd w:id="31"/>
    <w:bookmarkStart w:id="3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Desactivación inteligente del botón de envío durante peticiones en curso para evitar solicitudes duplicadas.</w:t>
      </w:r>
    </w:p>
    <w:p>
      <w:pPr>
        <w:pStyle w:val="Compact"/>
        <w:numPr>
          <w:ilvl w:val="0"/>
          <w:numId w:val="1004"/>
        </w:numPr>
      </w:pPr>
      <w:r>
        <w:t xml:space="preserve">Modal de confirmación explícito antes de alternar el estado de activación de la cuenta del acudiente.</w:t>
      </w:r>
    </w:p>
    <w:p>
      <w:pPr>
        <w:pStyle w:val="Compact"/>
        <w:numPr>
          <w:ilvl w:val="0"/>
          <w:numId w:val="1004"/>
        </w:numPr>
      </w:pPr>
      <w:r>
        <w:t xml:space="preserve">Notificaciones tostadas e informativas de éxito y error.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3"/>
        <w:gridCol w:w="57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Estandarización de 2 Estados (</w:t>
            </w:r>
            <w:r>
              <w:rPr>
                <w:rStyle w:val="VerbatimChar"/>
                <w:b/>
                <w:bCs/>
              </w:rPr>
              <w:t xml:space="preserve">Activo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Inactivo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Simplifica el control directivo eliminando ambigüedades sobre estados intermedios.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Drawer Lateral de Detalles</w:t>
            </w:r>
          </w:p>
        </w:tc>
        <w:tc>
          <w:tcPr/>
          <w:p>
            <w:pPr>
              <w:pStyle w:val="Compact"/>
            </w:pPr>
            <w:r>
              <w:t xml:space="preserve">Permite inspeccionar los datos del acudiente e hijos asociados sin perder el contexto ni la posición de la tabla principal.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Reutilización de vistas en Modo Monitoreo</w:t>
            </w:r>
          </w:p>
        </w:tc>
        <w:tc>
          <w:tcPr/>
          <w:p>
            <w:pPr>
              <w:pStyle w:val="Compact"/>
            </w:pPr>
            <w:r>
              <w:t xml:space="preserve">El directivo experimenta exactamente la misma interfaz que ve el acudiente al iniciar el seguimiento, garantizando precisión en la auditoría.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15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routes/parent.routes.ts" TargetMode="External" /><Relationship Type="http://schemas.openxmlformats.org/officeDocument/2006/relationships/hyperlink" Id="rId19" Target="file:///c:/Users/alejo/Downloads/segundoProyecto/frontend/src/layouts/DashboardLayout.vue" TargetMode="External" /><Relationship Type="http://schemas.openxmlformats.org/officeDocument/2006/relationships/hyperlink" Id="rId18" Target="file:///c:/Users/alejo/Downloads/segundoProyecto/frontend/src/stores/auth.ts" TargetMode="External" /><Relationship Type="http://schemas.openxmlformats.org/officeDocument/2006/relationships/hyperlink" Id="rId17" Target="file:///c:/Users/alejo/Downloads/segundoProyecto/frontend/src/views/admin/ParentManagement.vue" TargetMode="External" /><Relationship Type="http://schemas.openxmlformats.org/officeDocument/2006/relationships/hyperlink" Id="rId22" Target="file:///c:/Users/alejo/Downloads/segundoProyecto/frontend/src/views/parent/ParentAttendanceView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0" Target="file:///c:/Users/alejo/Downloads/segundoProyecto/frontend/src/views/parent/ParentDashboard.vue" TargetMode="External" /><Relationship Type="http://schemas.openxmlformats.org/officeDocument/2006/relationships/hyperlink" Id="rId21" Target="file:///c:/Users/alejo/Downloads/segundoProyecto/frontend/src/views/parent/ParentGradesView.vue" TargetMode="External" /><Relationship Type="http://schemas.openxmlformats.org/officeDocument/2006/relationships/hyperlink" Id="rId23" Target="file:///c:/Users/alejo/Downloads/segundoProyecto/frontend/src/views/parent/ParentObservation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parentManagementController.ts" TargetMode="External" /><Relationship Type="http://schemas.openxmlformats.org/officeDocument/2006/relationships/hyperlink" Id="rId15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routes/parent.routes.ts" TargetMode="External" /><Relationship Type="http://schemas.openxmlformats.org/officeDocument/2006/relationships/hyperlink" Id="rId19" Target="file:///c:/Users/alejo/Downloads/segundoProyecto/frontend/src/layouts/DashboardLayout.vue" TargetMode="External" /><Relationship Type="http://schemas.openxmlformats.org/officeDocument/2006/relationships/hyperlink" Id="rId18" Target="file:///c:/Users/alejo/Downloads/segundoProyecto/frontend/src/stores/auth.ts" TargetMode="External" /><Relationship Type="http://schemas.openxmlformats.org/officeDocument/2006/relationships/hyperlink" Id="rId17" Target="file:///c:/Users/alejo/Downloads/segundoProyecto/frontend/src/views/admin/ParentManagement.vue" TargetMode="External" /><Relationship Type="http://schemas.openxmlformats.org/officeDocument/2006/relationships/hyperlink" Id="rId22" Target="file:///c:/Users/alejo/Downloads/segundoProyecto/frontend/src/views/parent/ParentAttendanceView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0" Target="file:///c:/Users/alejo/Downloads/segundoProyecto/frontend/src/views/parent/ParentDashboard.vue" TargetMode="External" /><Relationship Type="http://schemas.openxmlformats.org/officeDocument/2006/relationships/hyperlink" Id="rId21" Target="file:///c:/Users/alejo/Downloads/segundoProyecto/frontend/src/views/parent/ParentGradesView.vue" TargetMode="External" /><Relationship Type="http://schemas.openxmlformats.org/officeDocument/2006/relationships/hyperlink" Id="rId23" Target="file:///c:/Users/alejo/Downloads/segundoProyecto/frontend/src/views/parent/ParentObservation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