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f72b4e6fdd641a2a27067496d426e9136289dd"/>
    <w:p>
      <w:pPr>
        <w:pStyle w:val="Heading1"/>
      </w:pPr>
      <w:r>
        <w:t xml:space="preserve">📜 Reglas de Negocio — Módulo 20: Seguimiento Académico a Usuarios por Directivo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Seguimiento Académico a Usuarios por Directivo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2026-08-12</w:t>
      </w:r>
    </w:p>
    <w:p>
      <w:r>
        <w:pict>
          <v:rect style="width:0;height:1.5pt" o:hralign="center" o:hrstd="t" o:hr="t"/>
        </w:pict>
      </w:r>
    </w:p>
    <w:bookmarkStart w:id="20" w:name="reglas-de-negocio-universales-del-módulo"/>
    <w:p>
      <w:pPr>
        <w:pStyle w:val="Heading2"/>
      </w:pPr>
      <w:r>
        <w:t xml:space="preserve">Reglas de Negocio Universales del Módulo</w:t>
      </w:r>
    </w:p>
    <w:bookmarkStart w:id="9" w:name="X05f276604c1fc23a8b51e574536e48b12cf2145"/>
    <w:p>
      <w:pPr>
        <w:pStyle w:val="Heading3"/>
      </w:pPr>
      <w:r>
        <w:t xml:space="preserve">RN-SEG-001: Exclusividad del Rol Directivo</w:t>
      </w:r>
    </w:p>
    <w:p>
      <w:pPr>
        <w:pStyle w:val="FirstParagraph"/>
      </w:pPr>
      <w:r>
        <w:t xml:space="preserve">Solo los usuarios autenticados con el rol primario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 </w:t>
      </w:r>
      <w:r>
        <w:t xml:space="preserve">(Rector, Vicerrector o Coordinador) tienen la potestad de iniciar sesiones de seguimiento a otros usuarios del colegio. Ningún otro rol (</w:t>
      </w:r>
      <w:r>
        <w:rPr>
          <w:rStyle w:val="VerbatimChar"/>
        </w:rPr>
        <w:t xml:space="preserve">docente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) puede iniciar o delegar sesiones de monitoreo.</w:t>
      </w:r>
    </w:p>
    <w:p>
      <w:r>
        <w:pict>
          <v:rect style="width:0;height:1.5pt" o:hralign="center" o:hrstd="t" o:hr="t"/>
        </w:pict>
      </w:r>
    </w:p>
    <w:bookmarkEnd w:id="9"/>
    <w:bookmarkStart w:id="10" w:name="Xaf23d60abd008d7e23e759b6fe437775cdd4d5d"/>
    <w:p>
      <w:pPr>
        <w:pStyle w:val="Heading3"/>
      </w:pPr>
      <w:r>
        <w:t xml:space="preserve">RN-SEG-002: Inmutabilidad del Objeto de Autenticación (</w:t>
      </w:r>
      <w:r>
        <w:rPr>
          <w:rStyle w:val="VerbatimChar"/>
        </w:rPr>
        <w:t xml:space="preserve">auth.user</w:t>
      </w:r>
      <w:r>
        <w:t xml:space="preserve">)</w:t>
      </w:r>
    </w:p>
    <w:p>
      <w:pPr>
        <w:pStyle w:val="FirstParagraph"/>
      </w:pPr>
      <w:r>
        <w:t xml:space="preserve">Al iniciar una sesión de seguimiento, la propiedad</w:t>
      </w:r>
      <w:r>
        <w:t xml:space="preserve"> </w:t>
      </w:r>
      <w:r>
        <w:rPr>
          <w:rStyle w:val="VerbatimChar"/>
        </w:rPr>
        <w:t xml:space="preserve">auth.user</w:t>
      </w:r>
      <w:r>
        <w:t xml:space="preserve"> </w:t>
      </w:r>
      <w:r>
        <w:t xml:space="preserve">del estado de autenticación permanece estrictamente inalterada. Las credenciales, el ID del directivo y los tokens de sesión JWT no se modifican ni se intercambian. El seguimiento opera exclusivamente como una capa de suplantación de interfaz en cliente.</w:t>
      </w:r>
    </w:p>
    <w:p>
      <w:r>
        <w:pict>
          <v:rect style="width:0;height:1.5pt" o:hralign="center" o:hrstd="t" o:hr="t"/>
        </w:pict>
      </w:r>
    </w:p>
    <w:bookmarkEnd w:id="10"/>
    <w:bookmarkStart w:id="11" w:name="X429aacf13f5ac3f16d881ee6026075585a60a6a"/>
    <w:p>
      <w:pPr>
        <w:pStyle w:val="Heading3"/>
      </w:pPr>
      <w:r>
        <w:t xml:space="preserve">RN-SEG-003: Preservación de Rol Previo y Conmutación de</w:t>
      </w:r>
      <w:r>
        <w:t xml:space="preserve"> </w:t>
      </w:r>
      <w:r>
        <w:rPr>
          <w:rStyle w:val="VerbatimChar"/>
        </w:rPr>
        <w:t xml:space="preserve">activeRole</w:t>
      </w:r>
    </w:p>
    <w:p>
      <w:pPr>
        <w:pStyle w:val="Compact"/>
        <w:numPr>
          <w:ilvl w:val="0"/>
          <w:numId w:val="1001"/>
        </w:numPr>
      </w:pPr>
      <w:r>
        <w:t xml:space="preserve">Al invocar</w:t>
      </w:r>
      <w:r>
        <w:t xml:space="preserve"> </w:t>
      </w:r>
      <w:r>
        <w:rPr>
          <w:rStyle w:val="VerbatimChar"/>
        </w:rPr>
        <w:t xml:space="preserve">startMonitoring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startStudentMonitoring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startParentMonitoring</w:t>
      </w:r>
      <w:r>
        <w:t xml:space="preserve">, el sistema guarda el rol actual en</w:t>
      </w:r>
      <w:r>
        <w:t xml:space="preserve"> </w:t>
      </w:r>
      <w:r>
        <w:rPr>
          <w:rStyle w:val="VerbatimChar"/>
        </w:rPr>
        <w:t xml:space="preserve">previousRole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localStorage.getItem('previousRole')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Asigna dinámicamente</w:t>
      </w:r>
      <w:r>
        <w:t xml:space="preserve"> </w:t>
      </w:r>
      <w:r>
        <w:rPr>
          <w:rStyle w:val="VerbatimChar"/>
        </w:rPr>
        <w:t xml:space="preserve">activeRole</w:t>
      </w:r>
      <w:r>
        <w:t xml:space="preserve"> </w:t>
      </w:r>
      <w:r>
        <w:t xml:space="preserve">al rol correspondiente del objetivo (</w:t>
      </w:r>
      <w:r>
        <w:rPr>
          <w:rStyle w:val="VerbatimChar"/>
        </w:rPr>
        <w:t xml:space="preserve">'docente'</w:t>
      </w:r>
      <w:r>
        <w:t xml:space="preserve">,</w:t>
      </w:r>
      <w:r>
        <w:t xml:space="preserve"> </w:t>
      </w:r>
      <w:r>
        <w:rPr>
          <w:rStyle w:val="VerbatimChar"/>
        </w:rPr>
        <w:t xml:space="preserve">'estudiante'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'padre'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Al invocar</w:t>
      </w:r>
      <w:r>
        <w:t xml:space="preserve"> </w:t>
      </w:r>
      <w:r>
        <w:rPr>
          <w:rStyle w:val="VerbatimChar"/>
        </w:rPr>
        <w:t xml:space="preserve">stopMonitoring()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activeRole</w:t>
      </w:r>
      <w:r>
        <w:t xml:space="preserve"> </w:t>
      </w:r>
      <w:r>
        <w:t xml:space="preserve">se restaura automáticamente a</w:t>
      </w:r>
      <w:r>
        <w:t xml:space="preserve"> </w:t>
      </w:r>
      <w:r>
        <w:rPr>
          <w:rStyle w:val="VerbatimChar"/>
        </w:rPr>
        <w:t xml:space="preserve">previousRole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'directivo'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2" w:name="X0aa923ecb5a31c3e35b91ffaccd35c7c6377012"/>
    <w:p>
      <w:pPr>
        <w:pStyle w:val="Heading3"/>
      </w:pPr>
      <w:r>
        <w:t xml:space="preserve">RN-SEG-004: Lógica Obligatoria de Resolución Ternaria de IDs</w:t>
      </w:r>
    </w:p>
    <w:p>
      <w:pPr>
        <w:pStyle w:val="FirstParagraph"/>
      </w:pPr>
      <w:r>
        <w:t xml:space="preserve">Todas las vistas supervisables deben resolver el identificador de usuario (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id_usuario</w:t>
      </w:r>
      <w:r>
        <w:t xml:space="preserve">) mediante la expresión estandarizada: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isMonitoring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monitoringUser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monitoringUser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monitoringUser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id_usuario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id_usuario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Queda estrictamente prohibido utilizar únicamente</w:t>
      </w:r>
      <w:r>
        <w:t xml:space="preserve"> </w:t>
      </w:r>
      <w:r>
        <w:rPr>
          <w:rStyle w:val="VerbatimChar"/>
        </w:rPr>
        <w:t xml:space="preserve">auth.user.id</w:t>
      </w:r>
      <w:r>
        <w:t xml:space="preserve"> </w:t>
      </w:r>
      <w:r>
        <w:t xml:space="preserve">en consultas de vistas finales cuando</w:t>
      </w:r>
      <w:r>
        <w:t xml:space="preserve"> </w:t>
      </w:r>
      <w:r>
        <w:rPr>
          <w:rStyle w:val="VerbatimChar"/>
        </w:rPr>
        <w:t xml:space="preserve">auth.isMonitoring</w:t>
      </w:r>
      <w:r>
        <w:t xml:space="preserve"> </w:t>
      </w:r>
      <w:r>
        <w:t xml:space="preserve">sea verdadero.</w:t>
      </w:r>
    </w:p>
    <w:p>
      <w:r>
        <w:pict>
          <v:rect style="width:0;height:1.5pt" o:hralign="center" o:hrstd="t" o:hr="t"/>
        </w:pict>
      </w:r>
    </w:p>
    <w:bookmarkEnd w:id="12"/>
    <w:bookmarkStart w:id="13" w:name="Xcd64eba2847450f7d613813691599d421f54920"/>
    <w:p>
      <w:pPr>
        <w:pStyle w:val="Heading3"/>
      </w:pPr>
      <w:r>
        <w:t xml:space="preserve">RN-SEG-005: Deshabilitación de Acciones de Escritura (Modo Solo Lectura)</w:t>
      </w:r>
    </w:p>
    <w:p>
      <w:pPr>
        <w:pStyle w:val="FirstParagraph"/>
      </w:pPr>
      <w:r>
        <w:t xml:space="preserve">Durante el seguimiento activo (</w:t>
      </w:r>
      <w:r>
        <w:rPr>
          <w:rStyle w:val="VerbatimChar"/>
        </w:rPr>
        <w:t xml:space="preserve">auth.isMonitoring === true</w:t>
      </w:r>
      <w:r>
        <w:t xml:space="preserve">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Calificaciones</w:t>
      </w:r>
      <w:r>
        <w:t xml:space="preserve">: Se deshabilitan las acciones de crear actividades, ponderar logros y modificar notas en</w:t>
      </w:r>
      <w:r>
        <w:t xml:space="preserve"> </w:t>
      </w:r>
      <w:r>
        <w:rPr>
          <w:rStyle w:val="VerbatimChar"/>
        </w:rPr>
        <w:t xml:space="preserve">TeacherGrades.vue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Asistencia</w:t>
      </w:r>
      <w:r>
        <w:t xml:space="preserve">: Se inhabilita la toma de asistencia diaria o la edición de fallas en</w:t>
      </w:r>
      <w:r>
        <w:t xml:space="preserve"> </w:t>
      </w:r>
      <w:r>
        <w:rPr>
          <w:rStyle w:val="VerbatimChar"/>
        </w:rPr>
        <w:t xml:space="preserve">TeacherAttendance.vue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Observador</w:t>
      </w:r>
      <w:r>
        <w:t xml:space="preserve">: Se oculta la opción de registrar o eliminar anotaciones de convivencia en</w:t>
      </w:r>
      <w:r>
        <w:t xml:space="preserve"> </w:t>
      </w:r>
      <w:r>
        <w:rPr>
          <w:rStyle w:val="VerbatimChar"/>
        </w:rPr>
        <w:t xml:space="preserve">TeacherObservations.vue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Perfil</w:t>
      </w:r>
      <w:r>
        <w:t xml:space="preserve">: Se bloquea la modificación de correo, teléfono, clave y solicitud de códigos en</w:t>
      </w:r>
      <w:r>
        <w:t xml:space="preserve"> </w:t>
      </w:r>
      <w:r>
        <w:rPr>
          <w:rStyle w:val="VerbatimChar"/>
        </w:rPr>
        <w:t xml:space="preserve">ProfileView.vue</w:t>
      </w:r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Soporte</w:t>
      </w:r>
      <w:r>
        <w:t xml:space="preserve">: Se deshabilita el formulario de creación de tickets en</w:t>
      </w:r>
      <w:r>
        <w:t xml:space="preserve"> </w:t>
      </w:r>
      <w:r>
        <w:rPr>
          <w:rStyle w:val="VerbatimChar"/>
        </w:rPr>
        <w:t xml:space="preserve">SupportView.vue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8fc32e01c53144bc680c6c5ca96429ea09d857c"/>
    <w:p>
      <w:pPr>
        <w:pStyle w:val="Heading3"/>
      </w:pPr>
      <w:r>
        <w:t xml:space="preserve">RN-SEG-006: Bloqueo Incondicional a Gestión de Traslados</w:t>
      </w:r>
    </w:p>
    <w:p>
      <w:pPr>
        <w:pStyle w:val="FirstParagraph"/>
      </w:pPr>
      <w:r>
        <w:t xml:space="preserve">Un directivo que se encuentre supervisando a un usuario</w:t>
      </w:r>
      <w:r>
        <w:t xml:space="preserve"> </w:t>
      </w:r>
      <w:r>
        <w:rPr>
          <w:b/>
          <w:bCs/>
        </w:rPr>
        <w:t xml:space="preserve">no puede acceder bajo ninguna circunstancia a la vista de Gestión de Traslados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/dashboard/gestion-traslados</w:t>
      </w:r>
      <w:r>
        <w:t xml:space="preserve">).</w:t>
      </w:r>
      <w:r>
        <w:t xml:space="preserve"> </w:t>
      </w:r>
      <w:r>
        <w:t xml:space="preserve">- La opción queda excluida del menú lateral en</w:t>
      </w:r>
      <w:r>
        <w:t xml:space="preserve"> </w:t>
      </w:r>
      <w:r>
        <w:rPr>
          <w:rStyle w:val="VerbatimChar"/>
        </w:rPr>
        <w:t xml:space="preserve">DashboardLayout.vue</w:t>
      </w:r>
      <w:r>
        <w:t xml:space="preserve">.</w:t>
      </w:r>
      <w:r>
        <w:t xml:space="preserve"> </w:t>
      </w:r>
      <w:r>
        <w:t xml:space="preserve">- El guard de navegación global en</w:t>
      </w:r>
      <w:r>
        <w:t xml:space="preserve"> </w:t>
      </w:r>
      <w:r>
        <w:rPr>
          <w:rStyle w:val="VerbatimChar"/>
        </w:rPr>
        <w:t xml:space="preserve">router/index.ts</w:t>
      </w:r>
      <w:r>
        <w:t xml:space="preserve"> </w:t>
      </w:r>
      <w:r>
        <w:t xml:space="preserve">intercepta cualquier intento de navegación directa y redirige 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  <w:r>
        <w:t xml:space="preserve"> </w:t>
      </w:r>
      <w:r>
        <w:t xml:space="preserve">- El componente</w:t>
      </w:r>
      <w:r>
        <w:t xml:space="preserve"> </w:t>
      </w:r>
      <w:r>
        <w:rPr>
          <w:rStyle w:val="VerbatimChar"/>
        </w:rPr>
        <w:t xml:space="preserve">TrasladoManagement.vue</w:t>
      </w:r>
      <w:r>
        <w:t xml:space="preserve"> </w:t>
      </w:r>
      <w:r>
        <w:t xml:space="preserve">incluye una verificación al montarse que fuerza la redirección si</w:t>
      </w:r>
      <w:r>
        <w:t xml:space="preserve"> </w:t>
      </w:r>
      <w:r>
        <w:rPr>
          <w:rStyle w:val="VerbatimChar"/>
        </w:rPr>
        <w:t xml:space="preserve">auth.isMonitoring</w:t>
      </w:r>
      <w:r>
        <w:t xml:space="preserve"> </w:t>
      </w:r>
      <w:r>
        <w:t xml:space="preserve">es verdadero.</w:t>
      </w:r>
    </w:p>
    <w:p>
      <w:r>
        <w:pict>
          <v:rect style="width:0;height:1.5pt" o:hralign="center" o:hrstd="t" o:hr="t"/>
        </w:pict>
      </w:r>
    </w:p>
    <w:bookmarkEnd w:id="14"/>
    <w:bookmarkStart w:id="15" w:name="Xa745903cb3b643970fc7f10529757f01d7cbc92"/>
    <w:p>
      <w:pPr>
        <w:pStyle w:val="Heading3"/>
      </w:pPr>
      <w:r>
        <w:t xml:space="preserve">RN-SEG-007: Banner e Identidad Visual de Monitoreo</w:t>
      </w:r>
    </w:p>
    <w:p>
      <w:pPr>
        <w:pStyle w:val="FirstParagraph"/>
      </w:pPr>
      <w:r>
        <w:t xml:space="preserve">El layout principal (</w:t>
      </w:r>
      <w:r>
        <w:rPr>
          <w:rStyle w:val="VerbatimChar"/>
        </w:rPr>
        <w:t xml:space="preserve">DashboardLayout.vue</w:t>
      </w:r>
      <w:r>
        <w:t xml:space="preserve">) desplegará de forma prominente:</w:t>
      </w:r>
      <w:r>
        <w:t xml:space="preserve"> </w:t>
      </w:r>
      <w:r>
        <w:t xml:space="preserve">1. Un banner ámbar superior fijo con el texto:</w:t>
      </w:r>
      <w:r>
        <w:t xml:space="preserve"> </w:t>
      </w:r>
      <w:r>
        <w:rPr>
          <w:rStyle w:val="VerbatimChar"/>
        </w:rPr>
        <w:t xml:space="preserve">Modo Monitoreo — Supervisando a [Nombre] [Apellido] · Solo Lectura</w:t>
      </w:r>
      <w:r>
        <w:t xml:space="preserve"> </w:t>
      </w:r>
      <w:r>
        <w:t xml:space="preserve">y el botón</w:t>
      </w:r>
      <w:r>
        <w:t xml:space="preserve"> </w:t>
      </w:r>
      <w:r>
        <w:rPr>
          <w:rStyle w:val="VerbatimChar"/>
        </w:rPr>
        <w:t xml:space="preserve">Salir del Seguimiento</w:t>
      </w:r>
      <w:r>
        <w:t xml:space="preserve">.</w:t>
      </w:r>
      <w:r>
        <w:t xml:space="preserve"> </w:t>
      </w:r>
      <w:r>
        <w:t xml:space="preserve">2. El título del header principal mostrará:</w:t>
      </w:r>
      <w:r>
        <w:t xml:space="preserve"> </w:t>
      </w:r>
      <w:r>
        <w:rPr>
          <w:rStyle w:val="VerbatimChar"/>
        </w:rPr>
        <w:t xml:space="preserve">Seguimiento: [Nombre] [Apellido]</w:t>
      </w:r>
      <w:r>
        <w:t xml:space="preserve">.</w:t>
      </w:r>
      <w:r>
        <w:t xml:space="preserve"> </w:t>
      </w:r>
      <w:r>
        <w:t xml:space="preserve">3. La ficha de perfil y el círculo de avatar del topbar mostrarán las iniciales y el nombre del usuario monitoreado.</w:t>
      </w:r>
    </w:p>
    <w:p>
      <w:r>
        <w:pict>
          <v:rect style="width:0;height:1.5pt" o:hralign="center" o:hrstd="t" o:hr="t"/>
        </w:pict>
      </w:r>
    </w:p>
    <w:bookmarkEnd w:id="15"/>
    <w:bookmarkStart w:id="16" w:name="Xd3902ff3424fc74ba3b61f628e30401f3b7aa98"/>
    <w:p>
      <w:pPr>
        <w:pStyle w:val="Heading3"/>
      </w:pPr>
      <w:r>
        <w:t xml:space="preserve">RN-SEG-008: Persistencia del Estado en LocalStorage</w:t>
      </w:r>
    </w:p>
    <w:p>
      <w:pPr>
        <w:pStyle w:val="FirstParagraph"/>
      </w:pPr>
      <w:r>
        <w:t xml:space="preserve">Las variables reactivas</w:t>
      </w:r>
      <w:r>
        <w:t xml:space="preserve"> </w:t>
      </w:r>
      <w:r>
        <w:rPr>
          <w:rStyle w:val="VerbatimChar"/>
        </w:rPr>
        <w:t xml:space="preserve">monitoringUser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monitoringType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previousRole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activeRole</w:t>
      </w:r>
      <w:r>
        <w:t xml:space="preserve"> </w:t>
      </w:r>
      <w:r>
        <w:t xml:space="preserve">deben sincronizarse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Si el navegador es recargado (</w:t>
      </w:r>
      <w:r>
        <w:rPr>
          <w:rStyle w:val="VerbatimChar"/>
        </w:rPr>
        <w:t xml:space="preserve">F5</w:t>
      </w:r>
      <w:r>
        <w:t xml:space="preserve"> </w:t>
      </w:r>
      <w:r>
        <w:t xml:space="preserve">o actualización de pestaña), la sesión de seguimiento debe restaurarse de forma transparente sin perder el estado de monitoreo.</w:t>
      </w:r>
    </w:p>
    <w:p>
      <w:r>
        <w:pict>
          <v:rect style="width:0;height:1.5pt" o:hralign="center" o:hrstd="t" o:hr="t"/>
        </w:pict>
      </w:r>
    </w:p>
    <w:bookmarkEnd w:id="16"/>
    <w:bookmarkStart w:id="17" w:name="Xe6ce70ce080a2a1e37b277cf1ef847a88eca786"/>
    <w:p>
      <w:pPr>
        <w:pStyle w:val="Heading3"/>
      </w:pPr>
      <w:r>
        <w:t xml:space="preserve">RN-SEG-009: Verificación de Cuenta Activa Obligatoria</w:t>
      </w:r>
    </w:p>
    <w:p>
      <w:pPr>
        <w:pStyle w:val="FirstParagraph"/>
      </w:pPr>
      <w:r>
        <w:t xml:space="preserve">Antes de iniciar cualquier seguimiento, la interfaz debe validar que el registro de destino tenga un ID de usuario válido (</w:t>
      </w:r>
      <w:r>
        <w:rPr>
          <w:rStyle w:val="VerbatimChar"/>
        </w:rPr>
        <w:t xml:space="preserve">id_usuario !== null</w:t>
      </w:r>
      <w:r>
        <w:t xml:space="preserve">) y una cuenta activa (</w:t>
      </w:r>
      <w:r>
        <w:rPr>
          <w:rStyle w:val="VerbatimChar"/>
        </w:rPr>
        <w:t xml:space="preserve">usuario_activo === true</w:t>
      </w:r>
      <w:r>
        <w:t xml:space="preserve">). En caso contrario, la acción debe abortarse mostrando un mensaje de advertencia.</w:t>
      </w:r>
    </w:p>
    <w:p>
      <w:r>
        <w:pict>
          <v:rect style="width:0;height:1.5pt" o:hralign="center" o:hrstd="t" o:hr="t"/>
        </w:pict>
      </w:r>
    </w:p>
    <w:bookmarkEnd w:id="17"/>
    <w:bookmarkStart w:id="18" w:name="Xf72cf398a1e66035188c5c0fab27667eda6b1b3"/>
    <w:p>
      <w:pPr>
        <w:pStyle w:val="Heading3"/>
      </w:pPr>
      <w:r>
        <w:t xml:space="preserve">RN-SEG-011: Aislamiento Estricto Multi-Colegio para Docentes Compartidos</w:t>
      </w:r>
    </w:p>
    <w:p>
      <w:pPr>
        <w:pStyle w:val="FirstParagraph"/>
      </w:pPr>
      <w:r>
        <w:t xml:space="preserve">Cuando un docente labora simultáneamente en múltiples instituciones (Colegio A y Colegio B):</w:t>
      </w:r>
      <w:r>
        <w:t xml:space="preserve"> </w:t>
      </w:r>
      <w:r>
        <w:t xml:space="preserve">1. La cuenta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posee un único</w:t>
      </w:r>
      <w:r>
        <w:t xml:space="preserve"> </w:t>
      </w:r>
      <w:r>
        <w:rPr>
          <w:rStyle w:val="VerbatimChar"/>
        </w:rPr>
        <w:t xml:space="preserve">id_usuario</w:t>
      </w:r>
      <w:r>
        <w:t xml:space="preserve">, pero existen registros independientes en la tabla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para cada institución (</w:t>
      </w:r>
      <w:r>
        <w:rPr>
          <w:rStyle w:val="VerbatimChar"/>
        </w:rPr>
        <w:t xml:space="preserve">id_docente</w:t>
      </w:r>
      <w:r>
        <w:t xml:space="preserve"> </w:t>
      </w:r>
      <w:r>
        <w:t xml:space="preserve">A vs</w:t>
      </w:r>
      <w:r>
        <w:t xml:space="preserve"> </w:t>
      </w:r>
      <w:r>
        <w:rPr>
          <w:rStyle w:val="VerbatimChar"/>
        </w:rPr>
        <w:t xml:space="preserve">id_docente</w:t>
      </w:r>
      <w:r>
        <w:t xml:space="preserve"> </w:t>
      </w:r>
      <w:r>
        <w:t xml:space="preserve">B).</w:t>
      </w:r>
      <w:r>
        <w:t xml:space="preserve"> </w:t>
      </w:r>
      <w:r>
        <w:t xml:space="preserve">2. Durante el seguimiento iniciado por el Directivo del Colegio A, toda consulta al backend (</w:t>
      </w:r>
      <w:r>
        <w:rPr>
          <w:rStyle w:val="VerbatimChar"/>
        </w:rPr>
        <w:t xml:space="preserve">getTeacherCourses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getTeacherDashboard</w:t>
      </w:r>
      <w:r>
        <w:t xml:space="preserve">, etc.) incluye obligatoriamente el encabezado</w:t>
      </w:r>
      <w:r>
        <w:t xml:space="preserve"> </w:t>
      </w:r>
      <w:r>
        <w:rPr>
          <w:rStyle w:val="VerbatimChar"/>
        </w:rPr>
        <w:t xml:space="preserve">x-school-id = schoolId_A</w:t>
      </w:r>
      <w:r>
        <w:t xml:space="preserve">.</w:t>
      </w:r>
      <w:r>
        <w:t xml:space="preserve"> </w:t>
      </w:r>
      <w:r>
        <w:t xml:space="preserve">3. El backend filtra los datos agregando</w:t>
      </w:r>
      <w:r>
        <w:t xml:space="preserve"> </w:t>
      </w:r>
      <w:r>
        <w:rPr>
          <w:rStyle w:val="VerbatimChar"/>
        </w:rPr>
        <w:t xml:space="preserve">.where("docente.id_colegio", "=", schoolId_A)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.where("detalle_grados.id_colegio", "=", schoolId_A)</w:t>
      </w:r>
      <w:r>
        <w:t xml:space="preserve">.</w:t>
      </w:r>
      <w:r>
        <w:t xml:space="preserve"> </w:t>
      </w:r>
      <w:r>
        <w:t xml:space="preserve">4. El Directivo del Colegio A</w:t>
      </w:r>
      <w:r>
        <w:t xml:space="preserve"> </w:t>
      </w:r>
      <w:r>
        <w:rPr>
          <w:b/>
          <w:bCs/>
        </w:rPr>
        <w:t xml:space="preserve">únicamente puede visibilizar los cursos, estudiantes, materias y cargas académicas correspondientes a su institución</w:t>
      </w:r>
      <w:r>
        <w:t xml:space="preserve">, quedando la información del Colegio B totalmente aislada e inaccesible.</w:t>
      </w:r>
    </w:p>
    <w:p>
      <w:r>
        <w:pict>
          <v:rect style="width:0;height:1.5pt" o:hralign="center" o:hrstd="t" o:hr="t"/>
        </w:pict>
      </w:r>
    </w:p>
    <w:bookmarkEnd w:id="18"/>
    <w:bookmarkStart w:id="19" w:name="X9ed2e323a492a8958d054d7468bdb99e455c8d2"/>
    <w:p>
      <w:pPr>
        <w:pStyle w:val="Heading3"/>
      </w:pPr>
      <w:r>
        <w:t xml:space="preserve">RN-SEG-012: Principio de Mínima Divulgación de Información y Reutilización de Datos Personales</w:t>
      </w:r>
    </w:p>
    <w:p>
      <w:pPr>
        <w:pStyle w:val="FirstParagraph"/>
      </w:pPr>
      <w:r>
        <w:t xml:space="preserve">Cuando un Directivo del Colegio B registra un usuario cuyo número de documento de identidad ya existe en la plataforma (por ejemplo, registrado previamente como Padre o Docente en el Colegio A):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Preservación Inmutable de Datos Personales</w:t>
      </w:r>
      <w:r>
        <w:t xml:space="preserve">: Los nombres, apellidos, documento y tipo de documento originales almacenados 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no son modificados ni sobrescritos.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Reutilización Transparente</w:t>
      </w:r>
      <w:r>
        <w:t xml:space="preserve">: Se reutiliza el registro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existente y se genera únicamente la vinculación institucional (</w:t>
      </w:r>
      <w:r>
        <w:rPr>
          <w:rStyle w:val="VerbatimChar"/>
        </w:rPr>
        <w:t xml:space="preserve">usuario_colegio</w:t>
      </w:r>
      <w:r>
        <w:t xml:space="preserve"> </w:t>
      </w:r>
      <w:r>
        <w:t xml:space="preserve">y tabla de rol del Colegio B).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Mínima Divulgación de Información</w:t>
      </w:r>
      <w:r>
        <w:t xml:space="preserve">: El sistema</w:t>
      </w:r>
      <w:r>
        <w:t xml:space="preserve"> </w:t>
      </w:r>
      <w:r>
        <w:rPr>
          <w:b/>
          <w:bCs/>
        </w:rPr>
        <w:t xml:space="preserve">nunca revela al Directivo del Colegio B a qué otros colegios pertenece el usuario ni qué roles ostenta en otras instituciones</w:t>
      </w:r>
      <w:r>
        <w:t xml:space="preserve">, protegiendo la privacidad de los usuarios.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Respuesta Informativa Segura</w:t>
      </w:r>
      <w:r>
        <w:t xml:space="preserve">: El sistema confirma la operación con un mensaje neutro y profesional:</w:t>
      </w:r>
      <w:r>
        <w:t xml:space="preserve"> </w:t>
      </w:r>
      <w:r>
        <w:rPr>
          <w:i/>
          <w:iCs/>
        </w:rPr>
        <w:t xml:space="preserve">“El usuario ya se encuentra registrado en el sistema. Sus datos personales existentes fueron preservados y no fueron sobrescritos. Se agregó únicamente su asignación a esta institución.”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2026-08-17T21:33:08Z</dcterms:created>
  <dcterms:modified xsi:type="dcterms:W3CDTF">2026-08-17T21:33:08Z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