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c1cf0f8c8cda8d1e40c825ca2c34f35ebfaf8f"/>
    <w:p>
      <w:pPr>
        <w:pStyle w:val="Heading1"/>
      </w:pPr>
      <w:r>
        <w:t xml:space="preserve">📧 Módulo de Flujo de Correos Electrónicos, Notificaciones y Verificaciones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2026-08-13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centraliza todos los procesos relacionados con el envío de correos electrónicos transaccionales, códigos de verificación OTP (One-Time Password) de un solo uso, recuperación de contraseñas, validación de existencia de emails en matrículas y notificaciones académicas/administrativas.</w:t>
      </w:r>
    </w:p>
    <w:p>
      <w:pPr>
        <w:pStyle w:val="BodyText"/>
      </w:pPr>
      <w:r>
        <w:t xml:space="preserve">Proporciona una capa de seguridad y confiabilidad que garantiza: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Verificación Previa a Matrícula</w:t>
      </w:r>
      <w:r>
        <w:t xml:space="preserve">: Valida la existencia y posesión real del correo del acudiente mediante un código OTP de 6 dígitos antes de procesar una nueva inscripción.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Actualización Segura de Perfil</w:t>
      </w:r>
      <w:r>
        <w:t xml:space="preserve">: Exige validar mediante OTP cualquier solicitud de cambio de correo electrónico institucional o personal.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Recuperación de Contraseñas</w:t>
      </w:r>
      <w:r>
        <w:t xml:space="preserve">: Generación y entrega de tokens temporales de restablecimiento protegidos con caducidad.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Notificaciones Transaccionales</w:t>
      </w:r>
      <w:r>
        <w:t xml:space="preserve">: Envío automatizado de credenciales de acceso, cambios de estado de matrícula, avisos de boletines y alertas de soporte.</w:t>
      </w:r>
    </w:p>
    <w:p>
      <w:r>
        <w:pict>
          <v:rect style="width:0;height:1.5pt" o:hralign="center" o:hrstd="t" o:hr="t"/>
        </w:pict>
      </w:r>
    </w:p>
    <w:bookmarkEnd w:id="9"/>
    <w:bookmarkStart w:id="13" w:name="arquitectura-y-componentes-técnicos"/>
    <w:p>
      <w:pPr>
        <w:pStyle w:val="Heading2"/>
      </w:pPr>
      <w:r>
        <w:t xml:space="preserve">2. Arquitectura y Componentes Técnicos</w:t>
      </w:r>
    </w:p>
    <w:p>
      <w:pPr>
        <w:pStyle w:val="CaptionedFigure"/>
      </w:pPr>
      <w:r>
        <w:drawing>
          <wp:inline>
            <wp:extent cx="5334000" cy="4269441"/>
            <wp:effectExtent b="0" l="0" r="0" t="0"/>
            <wp:docPr descr="Diagrama" title="" id="11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5a3417fe5fb63cbe36f6c414b5bbee306fd3591c4a30c82d551eecfd4da408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3"/>
    <w:bookmarkStart w:id="15" w:name="modelo-de-datos-centralizado"/>
    <w:p>
      <w:pPr>
        <w:pStyle w:val="Heading2"/>
      </w:pPr>
      <w:r>
        <w:t xml:space="preserve">3. Modelo de Datos Centralizado</w:t>
      </w:r>
    </w:p>
    <w:bookmarkStart w:id="14" w:name="tabla-public.codigo_verificacion_email"/>
    <w:p>
      <w:pPr>
        <w:pStyle w:val="Heading3"/>
      </w:pPr>
      <w:r>
        <w:t xml:space="preserve">3.1 Tabla</w:t>
      </w:r>
      <w:r>
        <w:t xml:space="preserve"> </w:t>
      </w:r>
      <w:r>
        <w:rPr>
          <w:rStyle w:val="VerbatimChar"/>
        </w:rPr>
        <w:t xml:space="preserve">public.codigo_verificacion_email</w:t>
      </w:r>
    </w:p>
    <w:p>
      <w:pPr>
        <w:pStyle w:val="FirstParagraph"/>
      </w:pPr>
      <w:r>
        <w:t xml:space="preserve">Reemplaza tablas fragmentadas previas en una estructura unificada y de alto rendimiento: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id_verificacion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Identificador autoincremental del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Correo electrónico destinatario en minúsculas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Código numérico de 6 dígitos (100000 - 999999)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tipo_verificacion_email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Tipo ENUM (</w:t>
            </w:r>
            <w:r>
              <w:rPr>
                <w:rStyle w:val="VerbatimChar"/>
              </w:rPr>
              <w:t xml:space="preserve">MATRICULA_NUEVA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CAMBIO_CORREO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RECUPERACION_PASSWORD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 REFERENCES usuario(id_usuario) ON DELETE CASCADE</w:t>
            </w:r>
          </w:p>
        </w:tc>
        <w:tc>
          <w:tcPr/>
          <w:p>
            <w:pPr>
              <w:pStyle w:val="Compact"/>
            </w:pPr>
            <w:r>
              <w:t xml:space="preserve">ID del usuario autenticado (si aplica)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Fecha/hora límite de validez (15 minutos)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FALSE NOT NULL</w:t>
            </w:r>
          </w:p>
        </w:tc>
        <w:tc>
          <w:tcPr/>
          <w:p>
            <w:pPr>
              <w:pStyle w:val="Compact"/>
            </w:pPr>
            <w:r>
              <w:t xml:space="preserve">Indicador de si el código ya fue validado con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Fecha de emisión del código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de Rendimiento: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idx_codigo_verificacion_email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.codigo_verificacion_email (email, codigo, tipo);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ndpoints-y-operaciones"/>
    <w:p>
      <w:pPr>
        <w:pStyle w:val="Heading2"/>
      </w:pPr>
      <w:r>
        <w:t xml:space="preserve">4. Endpoints y Operaciones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OTP de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/api/matriculas/send-email-code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OTP de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/api/matriculas/verify-email-code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OTP cambio de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/api/auth/profile/request-email-change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Cualquier Rol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OTP cambio de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/api/auth/profile/verify-email-change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Cualquier Rol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reset de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Restablecer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Pública (token)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implementación-de-servicios"/>
    <w:p>
      <w:pPr>
        <w:pStyle w:val="Heading2"/>
      </w:pPr>
      <w:r>
        <w:t xml:space="preserve">5. Implementación de Servicios</w:t>
      </w:r>
    </w:p>
    <w:bookmarkStart w:id="18" w:name="Xe6d7e8d6ff3a6f76e83f7326ebcfa6a2b8077a1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EmailVerificationService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emailVerificationService.ts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sendCode(params)</w:t>
      </w:r>
      <w:r>
        <w:t xml:space="preserve">: Genera el número criptográficamente adecuado de 6 dígitos, establece la caducidad a 15 minutos, inserta el registro usando Kysely y despacha el correo mediante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verifyCode(params)</w:t>
      </w:r>
      <w:r>
        <w:t xml:space="preserve">: Busca un registro con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 =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. Si es válido, marca</w:t>
      </w:r>
      <w:r>
        <w:t xml:space="preserve"> </w:t>
      </w:r>
      <w:r>
        <w:rPr>
          <w:rStyle w:val="VerbatimChar"/>
        </w:rPr>
        <w:t xml:space="preserve">verified = 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isVerified(params)</w:t>
      </w:r>
      <w:r>
        <w:t xml:space="preserve">: Verifica si existe una validación previa no expirada (por defecto dentro de las últimas 2 horas) antes de ejecutar la acción crítica.</w:t>
      </w:r>
    </w:p>
    <w:bookmarkEnd w:id="18"/>
    <w:bookmarkStart w:id="20" w:name="Xfe8515a23ef1c7db8cf519de328db636a872a63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notificationService.ts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Transportador SMTP configurado vía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Plantillas HTML estilizadas con diseño institucional para: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sendEnrollmentEmailVerificationCode(email, code)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sendEmailChangeVerificationCode(email, code, userName)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sendPasswordResetEmail(email, token, userName)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sendUserCredentials(email, password, role, 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sendEnrollmentNotification(email, status, details)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7" Target="file:///c:/Users/alejo/Downloads/segundoProyecto/backend/src/services/emailVerificationService.ts" TargetMode="External" /><Relationship Type="http://schemas.openxmlformats.org/officeDocument/2006/relationships/hyperlink" Id="rId19" Target="file:///c:/Users/alejo/Downloads/segundoProyecto/backend/src/services/notificationServi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segundoProyecto/backend/src/services/emailVerificationService.ts" TargetMode="External" /><Relationship Type="http://schemas.openxmlformats.org/officeDocument/2006/relationships/hyperlink" Id="rId19" Target="file:///c:/Users/alejo/Downloads/segundoProyecto/backend/src/services/notificationServi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