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38480c40155167fad8f9f1ff0dac22873153ad"/>
    <w:p>
      <w:pPr>
        <w:pStyle w:val="Heading1"/>
      </w:pPr>
      <w:r>
        <w:t xml:space="preserve">Reporte de Auditoría y Análisis de Modelamiento Técnico-Legal: Decreto 1075 de 2015, Ley 115 de 1994 y Resolución 7797 de 2015 en AcademiaNeiva</w:t>
      </w:r>
    </w:p>
    <w:p>
      <w:pPr>
        <w:pStyle w:val="BlockText"/>
      </w:pPr>
      <w:r>
        <w:rPr>
          <w:b/>
          <w:bCs/>
        </w:rPr>
        <w:t xml:space="preserve">Fecha de Auditoría:</w:t>
      </w:r>
      <w:r>
        <w:t xml:space="preserve"> </w:t>
      </w:r>
      <w:r>
        <w:t xml:space="preserve">12 de Agosto de 2026</w:t>
      </w:r>
      <w:r>
        <w:br/>
      </w:r>
      <w:r>
        <w:rPr>
          <w:b/>
          <w:bCs/>
        </w:rPr>
        <w:t xml:space="preserve">Sistema Auditor:</w:t>
      </w:r>
      <w:r>
        <w:t xml:space="preserve"> </w:t>
      </w:r>
      <w:r>
        <w:t xml:space="preserve">AcademiaNeiva (Backend Node.js/TypeScript/Kysely &amp; Base de Datos PostgreSQL)</w:t>
      </w:r>
      <w:r>
        <w:br/>
      </w:r>
      <w:r>
        <w:rPr>
          <w:b/>
          <w:bCs/>
        </w:rPr>
        <w:t xml:space="preserve">Normativa de Referencia:</w:t>
      </w:r>
      <w:r>
        <w:br/>
      </w:r>
      <w:r>
        <w:t xml:space="preserve">1. Ley General de Educación (Ley 115 de 1994 - Art. 11)</w:t>
      </w:r>
      <w:r>
        <w:br/>
      </w:r>
      <w:r>
        <w:t xml:space="preserve">2. Decreto Único Reglamentario del Sector Educación (Decreto 1075 de 2015 - Arts. 2.3.3.3.3.16, 2.3.3.3.3.17, 2.3.3.2.2.1.4 y Sección SIEE)</w:t>
      </w:r>
      <w:r>
        <w:br/>
      </w:r>
      <w:r>
        <w:t xml:space="preserve">3. Gestión de la Cobertura Educativa SIMAT (Resolución 7797 de 2015 - MEN)</w:t>
      </w:r>
      <w:r>
        <w:br/>
      </w:r>
      <w:r>
        <w:rPr>
          <w:b/>
          <w:bCs/>
        </w:rPr>
        <w:t xml:space="preserve">Estado Global del Cumplimiento:</w:t>
      </w:r>
      <w:r>
        <w:t xml:space="preserve"> </w:t>
      </w:r>
      <w:r>
        <w:rPr>
          <w:b/>
          <w:bCs/>
        </w:rPr>
        <w:t xml:space="preserve">88% CONSOLIDADO / 12% EN DISCORDANCIA O PARCIAL</w:t>
      </w:r>
    </w:p>
    <w:p>
      <w:r>
        <w:pict>
          <v:rect style="width:0;height:1.5pt" o:hralign="center" o:hrstd="t" o:hr="t"/>
        </w:pict>
      </w:r>
    </w:p>
    <w:bookmarkStart w:id="13" w:name="resumen-ejecutivo-de-la-auditoría"/>
    <w:p>
      <w:pPr>
        <w:pStyle w:val="Heading2"/>
      </w:pPr>
      <w:r>
        <w:t xml:space="preserve">1. Resumen Ejecutivo de la Auditoría</w:t>
      </w:r>
    </w:p>
    <w:p>
      <w:pPr>
        <w:pStyle w:val="FirstParagraph"/>
      </w:pPr>
      <w:r>
        <w:t xml:space="preserve">El presente reporte evalúa la correspondencia entre la arquitectura de datos, lógica de negocio y endpoints del sistema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frente a las exigencias normativas del Ministerio de Educación Nacional de Colombia (MEN).</w:t>
      </w:r>
    </w:p>
    <w:p>
      <w:pPr>
        <w:pStyle w:val="BodyText"/>
      </w:pPr>
      <w:r>
        <w:t xml:space="preserve">El análisis exhaustivo del código fuente (</w:t>
      </w:r>
      <w:hyperlink r:id="rId9">
        <w:r>
          <w:rPr>
            <w:rStyle w:val="Hyperlink"/>
          </w:rPr>
          <w:t xml:space="preserve">matriculaService.ts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boletinController.ts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academicTrackingController.ts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041_decision_promocion_directivo.sql</w:t>
        </w:r>
      </w:hyperlink>
      <w:r>
        <w:t xml:space="preserve">) confirma que el sistema posee una sólida arquitectura relacional multi-tenant. Sin embargo, se han identificado discordancias normativas puntuales que deben ser subsanadas para garantizar un cumplimiento legal del 100%.</w:t>
      </w:r>
    </w:p>
    <w:p>
      <w:r>
        <w:pict>
          <v:rect style="width:0;height:1.5pt" o:hralign="center" o:hrstd="t" o:hr="t"/>
        </w:pict>
      </w:r>
    </w:p>
    <w:bookmarkEnd w:id="13"/>
    <w:bookmarkStart w:id="14" w:name="X58e7852b896f128f990bef2b2b1ce8699719d01"/>
    <w:p>
      <w:pPr>
        <w:pStyle w:val="Heading2"/>
      </w:pPr>
      <w:r>
        <w:t xml:space="preserve">2. Cuadro Comparativo de Puntos Normativos vs. Modelamiento en AcademiaNeiva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584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Necesidad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en AcademiaNeiva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Grado de Coincidencia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Consolidados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en Discordancia / Oportunidades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Estructura de niveles y grados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115 de 1994, Art.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</w:t>
            </w:r>
            <w:r>
              <w:t xml:space="preserve"> </w:t>
            </w:r>
            <w:r>
              <w:rPr>
                <w:rStyle w:val="VerbatimChar"/>
              </w:rPr>
              <w:t xml:space="preserve">nivel_escolar</w:t>
            </w:r>
            <w:r>
              <w:t xml:space="preserve"> </w:t>
            </w:r>
            <w:r>
              <w:t xml:space="preserve">(Preescolar, Primaria, Secundaria, Media),</w:t>
            </w:r>
            <w:r>
              <w:t xml:space="preserve"> </w:t>
            </w:r>
            <w:r>
              <w:rPr>
                <w:rStyle w:val="VerbatimChar"/>
              </w:rPr>
              <w:t xml:space="preserve">tipo_grado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grupos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Ninguna. La división en 4 categorías operativas respeta fielmente la estructura tripartita y de dos ciclos.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Registro académico del 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1075/2015, art. 2.3.3.3.3.16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padre_familia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matricula</w:t>
            </w:r>
            <w:r>
              <w:t xml:space="preserve"> </w:t>
            </w:r>
            <w:r>
              <w:t xml:space="preserve">(historial por</w:t>
            </w:r>
            <w:r>
              <w:t xml:space="preserve"> </w:t>
            </w:r>
            <w:r>
              <w:rPr>
                <w:rStyle w:val="VerbatimChar"/>
              </w:rPr>
              <w:t xml:space="preserve">id_anio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cierre_materia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observacion_estudiante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un módulo/endpoint de</w:t>
            </w:r>
            <w:r>
              <w:t xml:space="preserve"> </w:t>
            </w:r>
            <w:r>
              <w:rPr>
                <w:b/>
                <w:bCs/>
              </w:rPr>
              <w:t xml:space="preserve">“Hoja de Vida Académica Unificada / Registro Escolar Histórico”</w:t>
            </w:r>
            <w:r>
              <w:t xml:space="preserve"> </w:t>
            </w:r>
            <w:r>
              <w:t xml:space="preserve">que consolide en un solo PDF descargable todos los años cursados.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Resultados por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1075/2015, art. 2.3.3.3.3.16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escala_valoracion</w:t>
            </w:r>
            <w:r>
              <w:t xml:space="preserve"> </w:t>
            </w:r>
            <w:r>
              <w:t xml:space="preserve">(Superior, Alto, Básico, Bajo),</w:t>
            </w:r>
            <w:r>
              <w:t xml:space="preserve"> </w:t>
            </w:r>
            <w:r>
              <w:rPr>
                <w:rStyle w:val="VerbatimChar"/>
              </w:rPr>
              <w:t xml:space="preserve">cierre_materia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registro_asistencia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decision_promocion_directivo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Ninguna. Registra el informe cuantitativo/cualitativo, fallas acumuladas y resultado del 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Constancia de desempeño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1075/2015, art. 2.3.3.3.3.17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 DISCORDANCIA / PARCIAL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boletines de período cerrado (</w:t>
            </w:r>
            <w:r>
              <w:rPr>
                <w:rStyle w:val="VerbatimChar"/>
              </w:rPr>
              <w:t xml:space="preserve">boletinController.ts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No existe un módulo de expedición de</w:t>
            </w:r>
            <w:r>
              <w:t xml:space="preserve"> </w:t>
            </w:r>
            <w:r>
              <w:rPr>
                <w:b/>
                <w:bCs/>
              </w:rPr>
              <w:t xml:space="preserve">Constancia Oficial de Desempeño</w:t>
            </w:r>
            <w:r>
              <w:t xml:space="preserve"> </w:t>
            </w:r>
            <w:r>
              <w:t xml:space="preserve">formal.</w:t>
            </w:r>
            <w:r>
              <w:t xml:space="preserve"> </w:t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boletinController</w:t>
            </w:r>
            <w:r>
              <w:t xml:space="preserve"> </w:t>
            </w:r>
            <w:r>
              <w:t xml:space="preserve">bloquea reportes parciales si el período no está cerrado, impidiendo expedir el</w:t>
            </w:r>
            <w:r>
              <w:t xml:space="preserve"> </w:t>
            </w:r>
            <w:r>
              <w:rPr>
                <w:b/>
                <w:bCs/>
              </w:rPr>
              <w:t xml:space="preserve">informe parcial de evaluación en caso de traslado a mitad de año</w:t>
            </w:r>
            <w:r>
              <w:t xml:space="preserve"> </w:t>
            </w:r>
            <w:r>
              <w:t xml:space="preserve">(exigencia del Art. 2.3.3.3.3.17).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Promoción y 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 (Sección SIEE)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decision_promocion_directivo</w:t>
            </w:r>
            <w:r>
              <w:t xml:space="preserve">, cálculo de reprobación y reserva de cupo/reingreso (</w:t>
            </w:r>
            <w:r>
              <w:rPr>
                <w:rStyle w:val="VerbatimChar"/>
              </w:rPr>
              <w:t xml:space="preserve">reingresoController.ts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 campos de parametrización institucional del SIEE en</w:t>
            </w:r>
            <w:r>
              <w:t xml:space="preserve"> </w:t>
            </w:r>
            <w:r>
              <w:rPr>
                <w:rStyle w:val="VerbatimChar"/>
              </w:rPr>
              <w:t xml:space="preserve">configuracion_colegio</w:t>
            </w:r>
            <w:r>
              <w:t xml:space="preserve"> </w:t>
            </w:r>
            <w:r>
              <w:t xml:space="preserve">(% máximo de fallas o número límite de asignaturas perdidas para automatizar la alerta).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Gestión/reporte de matrícula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7797 de 2015 (SIMAT)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de matrícula (</w:t>
            </w:r>
            <w:r>
              <w:rPr>
                <w:rStyle w:val="VerbatimChar"/>
              </w:rPr>
              <w:t xml:space="preserve">NUEVO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MATRICULADO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REINGRESO</w:t>
            </w:r>
            <w:r>
              <w:t xml:space="preserve">), flags</w:t>
            </w:r>
            <w:r>
              <w:t xml:space="preserve"> </w:t>
            </w:r>
            <w:r>
              <w:rPr>
                <w:rStyle w:val="VerbatimChar"/>
              </w:rPr>
              <w:t xml:space="preserve">es_extranjero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es_traslado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tiene_discapacidad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Faltan variables de caracterización SIMAT (</w:t>
            </w:r>
            <w:r>
              <w:rPr>
                <w:rStyle w:val="VerbatimChar"/>
              </w:rPr>
              <w:t xml:space="preserve">victima_conflicto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etnia</w:t>
            </w:r>
            <w:r>
              <w:t xml:space="preserve">) en la tabla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No existe exportador en formato oficial SIMAT (XML/CSV) para la Secretaría de Educación.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Documentación específica de ingreso a educación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1075/2015, art. 2.3.3.2.2.1.4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matriculaService.ts</w:t>
            </w:r>
            <w:r>
              <w:t xml:space="preserve"> </w:t>
            </w:r>
            <w:r>
              <w:t xml:space="preserve">exige Registro Civil, Vacunas y Salud para Preescolar, y</w:t>
            </w:r>
            <w:r>
              <w:t xml:space="preserve"> </w:t>
            </w:r>
            <w:r>
              <w:rPr>
                <w:b/>
                <w:bCs/>
              </w:rPr>
              <w:t xml:space="preserve">excluye expresamente certificados de escolaridad y pruebas de admisión</w:t>
            </w:r>
            <w:r>
              <w:t xml:space="preserve">. Evaluación por</w:t>
            </w:r>
            <w:r>
              <w:t xml:space="preserve"> </w:t>
            </w:r>
            <w:r>
              <w:rPr>
                <w:rStyle w:val="VerbatimChar"/>
              </w:rPr>
              <w:t xml:space="preserve">dimensiones_preescolar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Ninguna. Cumplimiento estricto de las restricciones del Decreto 1075 de 2015 para educación inicial.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3" w:name="análisis-exhaustivo-punto-por-punto"/>
    <w:p>
      <w:pPr>
        <w:pStyle w:val="Heading2"/>
      </w:pPr>
      <w:r>
        <w:t xml:space="preserve">3. Análisis Exhaustivo Punto por Punto</w:t>
      </w:r>
    </w:p>
    <w:bookmarkStart w:id="15" w:name="X88cd983b8e237c46cf3887bec6af0a24983b888"/>
    <w:p>
      <w:pPr>
        <w:pStyle w:val="Heading3"/>
      </w:pPr>
      <w:r>
        <w:t xml:space="preserve">3.1. Estructura de Niveles y Grados (Ley 115 de 1994, Art. 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Exige organizar la educación formal en Preescolar (mínimo 1 grado obligatorio), Educación Básica (9 grados divididos en 2 ciclos: Primaria de 5 grados y Secundaria de 4 grados) y Educación Media (2 grados).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02"/>
        </w:numPr>
      </w:pPr>
      <w:r>
        <w:t xml:space="preserve">Base de datos: Tabla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 </w:t>
      </w:r>
      <w:r>
        <w:t xml:space="preserve">que aloja los valores</w:t>
      </w:r>
      <w:r>
        <w:t xml:space="preserve"> </w:t>
      </w:r>
      <w:r>
        <w:rPr>
          <w:rStyle w:val="VerbatimChar"/>
        </w:rPr>
        <w:t xml:space="preserve">'PREESCOLAR'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'PRIMARIA'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'SECUNDARIA'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'MEDIA'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: Relaciona cada grado (Transición, 1.º a 11.º) con su respectivo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(100%)</w:t>
      </w:r>
      <w:r>
        <w:t xml:space="preserve">. La representación de Primaria y Secundaria como categorías operativas independientes respeta el espíritu del legislador y facilita las operaciones del software.</w:t>
      </w:r>
    </w:p>
    <w:p>
      <w:r>
        <w:pict>
          <v:rect style="width:0;height:1.5pt" o:hralign="center" o:hrstd="t" o:hr="t"/>
        </w:pict>
      </w:r>
    </w:p>
    <w:bookmarkEnd w:id="15"/>
    <w:bookmarkStart w:id="16" w:name="X9038d81d0a3a0d27677a58cc4f68934e1b84539"/>
    <w:p>
      <w:pPr>
        <w:pStyle w:val="Heading3"/>
      </w:pPr>
      <w:r>
        <w:t xml:space="preserve">3.2. Registro Académico del Estudiante (Decreto 1075 de 2015, Art. 2.3.3.3.3.16)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 Legal:</w:t>
      </w:r>
      <w:r>
        <w:t xml:space="preserve"> </w:t>
      </w:r>
      <w:r>
        <w:rPr>
          <w:i/>
          <w:iCs/>
        </w:rPr>
        <w:t xml:space="preserve">“En todas las instituciones educativas se mantendrá un registro actualizado de los estudiantes en el que conste los datos de identificación personal, el informe final de evaluación de cada grado cursado y las novedades académicas que surjan.”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Datos de identificación:</w:t>
      </w:r>
      <w:r>
        <w:t xml:space="preserve"> </w:t>
      </w:r>
      <w:r>
        <w:t xml:space="preserve">Tablas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Informes finales y novedades:</w:t>
      </w:r>
      <w:r>
        <w:t xml:space="preserve"> </w:t>
      </w:r>
      <w:r>
        <w:t xml:space="preserve">Tablas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traslado_aprobacion</w:t>
      </w:r>
      <w:r>
        <w:t xml:space="preserve"> </w:t>
      </w:r>
      <w:r>
        <w:t xml:space="preserve">e historial de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(90%)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Punto en Discordancia / Brecha: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Oportunidad de Mejora:</w:t>
      </w:r>
      <w:r>
        <w:t xml:space="preserve"> </w:t>
      </w:r>
      <w:r>
        <w:t xml:space="preserve">La información está registrada por vigencias anuales, pero no existe una vista o exportación unificada denominada</w:t>
      </w:r>
      <w:r>
        <w:t xml:space="preserve"> </w:t>
      </w:r>
      <w:r>
        <w:rPr>
          <w:b/>
          <w:bCs/>
        </w:rPr>
        <w:t xml:space="preserve">“Registro Escolar Folio / Hoja de Vida Histórica”</w:t>
      </w:r>
      <w:r>
        <w:t xml:space="preserve"> </w:t>
      </w:r>
      <w:r>
        <w:t xml:space="preserve">que consolide en una sola vista auditable todos los grados cursados por un estudiante desde su ingreso hasta la fecha actual.</w:t>
      </w:r>
    </w:p>
    <w:p>
      <w:r>
        <w:pict>
          <v:rect style="width:0;height:1.5pt" o:hralign="center" o:hrstd="t" o:hr="t"/>
        </w:pict>
      </w:r>
    </w:p>
    <w:bookmarkEnd w:id="16"/>
    <w:bookmarkStart w:id="17" w:name="X7e73c7b628512ced88bb30fcabbf6cafdf57747"/>
    <w:p>
      <w:pPr>
        <w:pStyle w:val="Heading3"/>
      </w:pPr>
      <w:r>
        <w:t xml:space="preserve">3.3. Resultados por Grado (Decreto 1075 de 2015, Art. 2.3.3.3.3.16)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El registro escolar debe guardar al término de cada año el informe final con calificaciones por asignatura, desempeño cualitativo, inasistencias y la decisión final de promoción.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07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escala_valoracion</w:t>
      </w:r>
      <w:r>
        <w:t xml:space="preserve">: Mapea notas numéricas a la escala nacional (SUPERIOR, ALTO, BÁSICO, BAJO).</w:t>
      </w:r>
    </w:p>
    <w:p>
      <w:pPr>
        <w:pStyle w:val="Compact"/>
        <w:numPr>
          <w:ilvl w:val="1"/>
          <w:numId w:val="1007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: Guarda las notas finales cerradas por docente/asignatura.</w:t>
      </w:r>
    </w:p>
    <w:p>
      <w:pPr>
        <w:pStyle w:val="Compact"/>
        <w:numPr>
          <w:ilvl w:val="1"/>
          <w:numId w:val="1007"/>
        </w:numPr>
      </w:pPr>
      <w:r>
        <w:t xml:space="preserve">Migración</w:t>
      </w:r>
      <w:r>
        <w:t xml:space="preserve"> </w:t>
      </w:r>
      <w:r>
        <w:rPr>
          <w:rStyle w:val="VerbatimChar"/>
        </w:rPr>
        <w:t xml:space="preserve">041_decision_promocion_directivo.sql</w:t>
      </w:r>
      <w:r>
        <w:t xml:space="preserve">: Guarda el</w:t>
      </w:r>
      <w:r>
        <w:t xml:space="preserve"> </w:t>
      </w:r>
      <w:r>
        <w:rPr>
          <w:rStyle w:val="VerbatimChar"/>
        </w:rPr>
        <w:t xml:space="preserve">resultado_calculado</w:t>
      </w:r>
      <w:r>
        <w:t xml:space="preserve"> </w:t>
      </w:r>
      <w:r>
        <w:t xml:space="preserve">(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) y la</w:t>
      </w:r>
      <w:r>
        <w:t xml:space="preserve"> </w:t>
      </w:r>
      <w:r>
        <w:rPr>
          <w:rStyle w:val="VerbatimChar"/>
        </w:rPr>
        <w:t xml:space="preserve">decision_tomada</w:t>
      </w:r>
      <w:r>
        <w:t xml:space="preserve"> </w:t>
      </w:r>
      <w:r>
        <w:t xml:space="preserve">por el directivo.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(100%)</w:t>
      </w:r>
      <w:r>
        <w:t xml:space="preserve">. El flujo de cierre de materias y registro de decisiones de promoción satisface plenamente la exigencia del artículo.</w:t>
      </w:r>
    </w:p>
    <w:p>
      <w:r>
        <w:pict>
          <v:rect style="width:0;height:1.5pt" o:hralign="center" o:hrstd="t" o:hr="t"/>
        </w:pict>
      </w:r>
    </w:p>
    <w:bookmarkEnd w:id="17"/>
    <w:bookmarkStart w:id="18" w:name="X8080bc207b0942397345568bfb21266e10e07c8"/>
    <w:p>
      <w:pPr>
        <w:pStyle w:val="Heading3"/>
      </w:pPr>
      <w:r>
        <w:t xml:space="preserve">3.4. Constancia de Desempeño (Decreto 1075 de 2015, Art. 2.3.3.3.3.17)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Norma Legal:</w:t>
      </w:r>
      <w:r>
        <w:t xml:space="preserve"> </w:t>
      </w:r>
      <w:r>
        <w:rPr>
          <w:i/>
          <w:iCs/>
        </w:rPr>
        <w:t xml:space="preserve">“El establecimiento educativo, a solicitud del padre de familia, emitirá constancias de desempeño de cada grado cursado… Si un estudiante se traslada de un establecimiento a otro antes de finalizar el año lectivo, el establecimiento de origen expedirá un informe parcial de evaluación…”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Modelamiento en AcademiaNeiva:</w:t>
      </w:r>
    </w:p>
    <w:p>
      <w:pPr>
        <w:numPr>
          <w:ilvl w:val="1"/>
          <w:numId w:val="100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boletinController.ts</w:t>
      </w:r>
      <w:r>
        <w:t xml:space="preserve">, se implementa el endpoint</w:t>
      </w:r>
      <w:r>
        <w:t xml:space="preserve"> </w:t>
      </w:r>
      <w:r>
        <w:rPr>
          <w:rStyle w:val="VerbatimChar"/>
        </w:rPr>
        <w:t xml:space="preserve">getStudentBoletin</w:t>
      </w:r>
      <w:r>
        <w:t xml:space="preserve">. Sin embargo, la línea 67 bloquea la generación si el periodo académico no tiene estado</w:t>
      </w:r>
      <w:r>
        <w:t xml:space="preserve"> </w:t>
      </w:r>
      <w:r>
        <w:rPr>
          <w:rStyle w:val="VerbatimChar"/>
        </w:rPr>
        <w:t xml:space="preserve">'CERRADO'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periodoDetails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periodoDetails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'CERRADO'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hay suficientes registros académicos para generar el boletín. Deberá esperar hasta el cierre de periodo.'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EN DISCORDANCIA / PARCIAL (60%)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Puntos en Discordancia Crítica: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Falta de Módulo de Certificaciones:</w:t>
      </w:r>
      <w:r>
        <w:t xml:space="preserve"> </w:t>
      </w:r>
      <w:r>
        <w:t xml:space="preserve">No se cuenta con una plantilla/endpoint específico para emitir la</w:t>
      </w:r>
      <w:r>
        <w:t xml:space="preserve"> </w:t>
      </w:r>
      <w:r>
        <w:rPr>
          <w:b/>
          <w:bCs/>
        </w:rPr>
        <w:t xml:space="preserve">“Constancia Oficial de Desempeño Escolar”</w:t>
      </w:r>
      <w:r>
        <w:t xml:space="preserve"> </w:t>
      </w:r>
      <w:r>
        <w:t xml:space="preserve">(documento legal membretado con firmas para trámites externos/traslados).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Imposibilidad de Expedir Informe Parcial de Traslado:</w:t>
      </w:r>
      <w:r>
        <w:t xml:space="preserve"> </w:t>
      </w:r>
      <w:r>
        <w:t xml:space="preserve">Si un estudiante se retira a mitad de período por traslado, el sistema rechaza la emisión del boletín porque el período general del colegio sigue abierto. Esto viola expresamente el Art. 2.3.3.3.3.17, que exige otorgar un</w:t>
      </w:r>
      <w:r>
        <w:t xml:space="preserve"> </w:t>
      </w:r>
      <w:r>
        <w:rPr>
          <w:i/>
          <w:iCs/>
        </w:rPr>
        <w:t xml:space="preserve">informe parcial de evaluación a la fecha del retiro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508d95f4f88b1b7b0c0092ea5378b151aa236b9"/>
    <w:p>
      <w:pPr>
        <w:pStyle w:val="Heading3"/>
      </w:pPr>
      <w:r>
        <w:t xml:space="preserve">3.5. Promoción y Continuidad (Decreto 1075 de 2015, Sección 3 SIEE)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Reglamenta la evaluación institucional, los criterios para promover o reprobar estudiantes (por inasistencia o número de asignaturas reprobadas) y la garantía de reserva de cupo para la continuidad del proceso educativo.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12"/>
        </w:numPr>
      </w:pPr>
      <w:r>
        <w:t xml:space="preserve">Servidores y controladores:</w:t>
      </w:r>
      <w:r>
        <w:t xml:space="preserve"> </w:t>
      </w:r>
      <w:r>
        <w:rPr>
          <w:rStyle w:val="VerbatimChar"/>
        </w:rPr>
        <w:t xml:space="preserve">academicTrackingController.ts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reingresoController.ts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Registra las decisiones institucionales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con opciones como</w:t>
      </w:r>
      <w:r>
        <w:t xml:space="preserve"> </w:t>
      </w:r>
      <w:r>
        <w:rPr>
          <w:rStyle w:val="VerbatimChar"/>
        </w:rPr>
        <w:t xml:space="preserve">PROMOVER_SIGUIENTE_GRADO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MANTENER_GRADO</w:t>
      </w:r>
      <w:r>
        <w:t xml:space="preserve"> </w:t>
      </w:r>
      <w:r>
        <w:t xml:space="preserve">(repetición) o</w:t>
      </w:r>
      <w:r>
        <w:t xml:space="preserve"> </w:t>
      </w:r>
      <w:r>
        <w:rPr>
          <w:rStyle w:val="VerbatimChar"/>
        </w:rPr>
        <w:t xml:space="preserve">MATRICULA_CONDICIONADA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(85%)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Punto en Discordancia / Brecha:</w:t>
      </w:r>
    </w:p>
    <w:p>
      <w:pPr>
        <w:pStyle w:val="Compact"/>
        <w:numPr>
          <w:ilvl w:val="1"/>
          <w:numId w:val="1013"/>
        </w:numPr>
      </w:pPr>
      <w:r>
        <w:t xml:space="preserve">Falta incluir en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 </w:t>
      </w:r>
      <w:r>
        <w:t xml:space="preserve">la parametrización de las reglas del SIEE (ej.</w:t>
      </w:r>
      <w:r>
        <w:t xml:space="preserve"> </w:t>
      </w:r>
      <w:r>
        <w:rPr>
          <w:rStyle w:val="VerbatimChar"/>
        </w:rPr>
        <w:t xml:space="preserve">max_materias_reprobables_promocion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porcentaje_maximo_inasistencia</w:t>
      </w:r>
      <w:r>
        <w:t xml:space="preserve">). Actualmente los umbrales están fijos en código o requieren la intervención manual del directivo.</w:t>
      </w:r>
    </w:p>
    <w:p>
      <w:r>
        <w:pict>
          <v:rect style="width:0;height:1.5pt" o:hralign="center" o:hrstd="t" o:hr="t"/>
        </w:pict>
      </w:r>
    </w:p>
    <w:bookmarkEnd w:id="19"/>
    <w:bookmarkStart w:id="20" w:name="Xbbb118b91e31981a114c083b9aaf7c45fb05789"/>
    <w:p>
      <w:pPr>
        <w:pStyle w:val="Heading3"/>
      </w:pPr>
      <w:r>
        <w:t xml:space="preserve">3.6. Gestión/Reporte de Matrícula (Resolución 7797 de 2015 - Cobertura SIMAT)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Establece los requerimientos de información del proceso de matrícula nacional (SIMAT), incluyendo caracterización poblacional completa y trazabilidad de los estados de la matrícula (</w:t>
      </w:r>
      <w:r>
        <w:rPr>
          <w:rStyle w:val="VerbatimChar"/>
        </w:rPr>
        <w:t xml:space="preserve">NUEVO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Modelamiento en AcademiaNeiva:</w:t>
      </w:r>
    </w:p>
    <w:p>
      <w:pPr>
        <w:pStyle w:val="Compact"/>
        <w:numPr>
          <w:ilvl w:val="1"/>
          <w:numId w:val="1015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: Maneja el ciclo de vida del trámite con los estados requeridos por la norma.</w:t>
      </w:r>
    </w:p>
    <w:p>
      <w:pPr>
        <w:pStyle w:val="Compact"/>
        <w:numPr>
          <w:ilvl w:val="1"/>
          <w:numId w:val="1015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documento_matriculas</w:t>
      </w:r>
      <w:r>
        <w:t xml:space="preserve">: Almacena soportes digitales.</w:t>
      </w:r>
    </w:p>
    <w:p>
      <w:pPr>
        <w:pStyle w:val="Compact"/>
        <w:numPr>
          <w:ilvl w:val="1"/>
          <w:numId w:val="1015"/>
        </w:numPr>
      </w:pPr>
      <w:r>
        <w:t xml:space="preserve">Atributos actuales:</w:t>
      </w:r>
      <w:r>
        <w:t xml:space="preserve"> </w:t>
      </w:r>
      <w:r>
        <w:rPr>
          <w:rStyle w:val="VerbatimChar"/>
        </w:rPr>
        <w:t xml:space="preserve">es_extranjero</w:t>
      </w:r>
      <w:r>
        <w:t xml:space="preserve">,</w:t>
      </w:r>
      <w:r>
        <w:t xml:space="preserve"> </w:t>
      </w:r>
      <w:r>
        <w:rPr>
          <w:rStyle w:val="VerbatimChar"/>
        </w:rPr>
        <w:t xml:space="preserve">es_traslado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tiene_discapacidad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(85%)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Puntos en Discordancia / Brecha: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Falta de Caracterización Poblacional SIMAT:</w:t>
      </w:r>
      <w:r>
        <w:t xml:space="preserve"> </w:t>
      </w:r>
      <w:r>
        <w:t xml:space="preserve">Faltan los campos</w:t>
      </w:r>
      <w:r>
        <w:t xml:space="preserve"> </w:t>
      </w:r>
      <w:r>
        <w:rPr>
          <w:rStyle w:val="VerbatimChar"/>
        </w:rPr>
        <w:t xml:space="preserve">victima_conflicto</w:t>
      </w:r>
      <w:r>
        <w:t xml:space="preserve"> </w:t>
      </w:r>
      <w:r>
        <w:t xml:space="preserve">(desplazamiento/conflicto armado) y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 </w:t>
      </w:r>
      <w:r>
        <w:t xml:space="preserve">en la entidad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Exportador SIMAT:</w:t>
      </w:r>
      <w:r>
        <w:t xml:space="preserve"> </w:t>
      </w:r>
      <w:r>
        <w:t xml:space="preserve">Ausencia de una función que exporte la sábana de matrículas en el formato oficial (CSV/XML) formateado para el SIMAT de la Entidad Territorial Certificada.</w:t>
      </w:r>
    </w:p>
    <w:p>
      <w:r>
        <w:pict>
          <v:rect style="width:0;height:1.5pt" o:hralign="center" o:hrstd="t" o:hr="t"/>
        </w:pict>
      </w:r>
    </w:p>
    <w:bookmarkEnd w:id="20"/>
    <w:bookmarkStart w:id="22" w:name="Xf28028c17ee455bdb347eadd2330e6d35765313"/>
    <w:p>
      <w:pPr>
        <w:pStyle w:val="Heading3"/>
      </w:pPr>
      <w:r>
        <w:t xml:space="preserve">3.7. Documentación Específica de Ingreso a Educación Inicial (Decreto 1075 de 2015, Art. 2.3.3.2.2.1.4)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 Legal:</w:t>
      </w:r>
      <w:r>
        <w:t xml:space="preserve"> </w:t>
      </w:r>
      <w:r>
        <w:t xml:space="preserve">Para el ingreso a los grados de Preescolar (Transición):</w:t>
      </w:r>
    </w:p>
    <w:p>
      <w:pPr>
        <w:pStyle w:val="Compact"/>
        <w:numPr>
          <w:ilvl w:val="1"/>
          <w:numId w:val="1018"/>
        </w:numPr>
      </w:pPr>
      <w:r>
        <w:t xml:space="preserve">Exige únicamente Registro Civil de Nacimiento, Carné de Vacunación al día y Certificado de Salud/EPS.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Prohíbe taxativamente la exigencia de certificados de escolaridad previos y la aplicación de exámenes o pruebas de admisión.</w:t>
      </w:r>
    </w:p>
    <w:p>
      <w:pPr>
        <w:pStyle w:val="Compact"/>
        <w:numPr>
          <w:ilvl w:val="1"/>
          <w:numId w:val="1018"/>
        </w:numPr>
      </w:pPr>
      <w:r>
        <w:t xml:space="preserve">Exige evaluación basada en las Dimensiones del Desarrollo.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Modelamiento en AcademiaNeiva:</w:t>
      </w:r>
    </w:p>
    <w:p>
      <w:pPr>
        <w:numPr>
          <w:ilvl w:val="1"/>
          <w:numId w:val="1019"/>
        </w:numPr>
      </w:pPr>
      <w:r>
        <w:t xml:space="preserve">En</w:t>
      </w:r>
      <w:r>
        <w:t xml:space="preserve"> </w:t>
      </w:r>
      <w:hyperlink r:id="rId21">
        <w:r>
          <w:rPr>
            <w:rStyle w:val="Hyperlink"/>
          </w:rPr>
          <w:t xml:space="preserve">matriculaService.ts</w:t>
        </w:r>
      </w:hyperlink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'PREESCOLAR'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isHigher)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REQUIRED_FOR_LOWER_LEVELS)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registroCivil, vacunas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isPre)   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REQUIRED_NOT_INFANT)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certificadosEscolaridad (EXCLUIDO PARA PREESCOLAR)</w:t>
      </w:r>
    </w:p>
    <w:p>
      <w:pPr>
        <w:numPr>
          <w:ilvl w:val="1"/>
          <w:numId w:val="1019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dimensiones_preescolar</w:t>
      </w:r>
      <w:r>
        <w:t xml:space="preserve">: Contiene las 7 dimensiones del desarrollo contempladas por el MEN.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Dictamen:</w:t>
      </w:r>
      <w:r>
        <w:t xml:space="preserve"> </w:t>
      </w:r>
      <w:r>
        <w:rPr>
          <w:b/>
          <w:bCs/>
        </w:rPr>
        <w:t xml:space="preserve">CONSOLIDADO (100%)</w:t>
      </w:r>
      <w:r>
        <w:t xml:space="preserve">. El código cumple de manera impecable con el mandato del Art. 2.3.3.2.2.1.4.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62b2cc7f30e8eee94d3559ab674822a3507e1e"/>
    <w:p>
      <w:pPr>
        <w:pStyle w:val="Heading2"/>
      </w:pPr>
      <w:r>
        <w:t xml:space="preserve">4. Plan de Acción Recomendado para Subsanar Discordancias</w:t>
      </w:r>
    </w:p>
    <w:p>
      <w:pPr>
        <w:pStyle w:val="FirstParagraph"/>
      </w:pPr>
      <w:r>
        <w:t xml:space="preserve">Para elevar la conformidad normativa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al 100%, se recomienda implementar las siguientes mejoras en los próximos sprints: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Subsanar el Bloqueo de Informes Parciales (Art. 2.3.3.3.3.17):</w:t>
      </w:r>
    </w:p>
    <w:p>
      <w:pPr>
        <w:pStyle w:val="Compact"/>
        <w:numPr>
          <w:ilvl w:val="1"/>
          <w:numId w:val="1021"/>
        </w:numPr>
      </w:pPr>
      <w:r>
        <w:t xml:space="preserve">Modificar</w:t>
      </w:r>
      <w:r>
        <w:t xml:space="preserve"> </w:t>
      </w:r>
      <w:r>
        <w:rPr>
          <w:rStyle w:val="VerbatimChar"/>
        </w:rPr>
        <w:t xml:space="preserve">boletinController.ts</w:t>
      </w:r>
      <w:r>
        <w:t xml:space="preserve"> </w:t>
      </w:r>
      <w:r>
        <w:t xml:space="preserve">para permitir la generación de un</w:t>
      </w:r>
      <w:r>
        <w:t xml:space="preserve"> </w:t>
      </w:r>
      <w:r>
        <w:rPr>
          <w:b/>
          <w:bCs/>
        </w:rPr>
        <w:t xml:space="preserve">“Boletín Parcial de Traslado”</w:t>
      </w:r>
      <w:r>
        <w:t xml:space="preserve"> </w:t>
      </w:r>
      <w:r>
        <w:t xml:space="preserve">para estudiantes cuya matrícula esté en estado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EN TRASLADO</w:t>
      </w:r>
      <w:r>
        <w:t xml:space="preserve">, aun cuando el periodo general no haya sido cerrado formalmente.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Módulo de Emisión de Constancias y Certificados (Art. 2.3.3.3.3.17):</w:t>
      </w:r>
    </w:p>
    <w:p>
      <w:pPr>
        <w:pStyle w:val="Compact"/>
        <w:numPr>
          <w:ilvl w:val="1"/>
          <w:numId w:val="1022"/>
        </w:numPr>
      </w:pPr>
      <w:r>
        <w:t xml:space="preserve">Crear un endpoint y vista para generar</w:t>
      </w:r>
      <w:r>
        <w:t xml:space="preserve"> </w:t>
      </w:r>
      <w:r>
        <w:rPr>
          <w:b/>
          <w:bCs/>
        </w:rPr>
        <w:t xml:space="preserve">Constancias Oficiales de Desempeño Escolar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Certificados de Escolaridad</w:t>
      </w:r>
      <w:r>
        <w:t xml:space="preserve"> </w:t>
      </w:r>
      <w:r>
        <w:t xml:space="preserve">membretados y firmados.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Vista de Registro Escolar Histórico / Folio (Art. 2.3.3.3.3.16):</w:t>
      </w:r>
    </w:p>
    <w:p>
      <w:pPr>
        <w:pStyle w:val="Compact"/>
        <w:numPr>
          <w:ilvl w:val="1"/>
          <w:numId w:val="1023"/>
        </w:numPr>
      </w:pPr>
      <w:r>
        <w:t xml:space="preserve">Implementar una consulta que consolide la trayectoria histórica completa de un estudiante (todos sus años cursados, notas definitivas y observaciones) en una sola vista auditable.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Campos SIMAT y Exportador (Resolución 7797 de 2015):</w:t>
      </w:r>
    </w:p>
    <w:p>
      <w:pPr>
        <w:pStyle w:val="Compact"/>
        <w:numPr>
          <w:ilvl w:val="1"/>
          <w:numId w:val="1024"/>
        </w:numPr>
      </w:pPr>
      <w:r>
        <w:t xml:space="preserve">Agregar las columnas</w:t>
      </w:r>
      <w:r>
        <w:t xml:space="preserve"> </w:t>
      </w:r>
      <w:r>
        <w:rPr>
          <w:rStyle w:val="VerbatimChar"/>
        </w:rPr>
        <w:t xml:space="preserve">victima_conflicto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habilitar la exportación masiva de datos en formato SIMAT.</w:t>
      </w:r>
    </w:p>
    <w:p>
      <w:r>
        <w:pict>
          <v:rect style="width:0;height:1.5pt" o:hralign="center" o:hrstd="t" o:hr="t"/>
        </w:pict>
      </w:r>
    </w:p>
    <w:bookmarkEnd w:id="24"/>
    <w:bookmarkStart w:id="25" w:name="conclusión"/>
    <w:p>
      <w:pPr>
        <w:pStyle w:val="Heading2"/>
      </w:pPr>
      <w:r>
        <w:t xml:space="preserve">5. Conclusión</w:t>
      </w:r>
    </w:p>
    <w:p>
      <w:pPr>
        <w:pStyle w:val="FirstParagraph"/>
      </w:pPr>
      <w:r>
        <w:t xml:space="preserve">El modelamiento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demuestra un alto grado de rigor técnico y alineación con la legislación educativa colombiana, destacándose especialmente en la estructura de niveles/grados (Ley 115/1994), el registro de decisiones de promoción (Decreto 1075/2015) y la protección del ingreso a educación inicial (Art. 2.3.3.2.2.1.4).</w:t>
      </w:r>
    </w:p>
    <w:p>
      <w:pPr>
        <w:pStyle w:val="BodyText"/>
      </w:pPr>
      <w:r>
        <w:t xml:space="preserve">Las discordancias halladas no comprometen la integridad de la base de datos, sino que representan funcionalidades operativas de reporte (certificaciones oficiales e informes parciales de traslado) que pueden ser integradas de forma transparente mediante ajustes en la capa de controladores y servicios del backend.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c:/Users/alejo/Downloads/segundoProyecto/backend/src/controllers/academicAdmin/academicTrackingController.ts" TargetMode="External" /><Relationship Type="http://schemas.openxmlformats.org/officeDocument/2006/relationships/hyperlink" Id="rId10" Target="file:///c:/Users/alejo/Downloads/segundoProyecto/backend/src/controllers/boletinController.ts" TargetMode="External" /><Relationship Type="http://schemas.openxmlformats.org/officeDocument/2006/relationships/hyperlink" Id="rId12" Target="file:///c:/Users/alejo/Downloads/segundoProyecto/backend/src/migrations/041_decision_promocion_directivo.sql" TargetMode="External" /><Relationship Type="http://schemas.openxmlformats.org/officeDocument/2006/relationships/hyperlink" Id="rId9" Target="file:///c:/Users/alejo/Downloads/segundoProyecto/backend/src/services/matriculaService.ts" TargetMode="External" /><Relationship Type="http://schemas.openxmlformats.org/officeDocument/2006/relationships/hyperlink" Id="rId21" Target="file:///c:/Users/alejo/Downloads/segundoProyecto/backend/src/services/matriculaService.ts#L27-L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c:/Users/alejo/Downloads/segundoProyecto/backend/src/controllers/academicAdmin/academicTrackingController.ts" TargetMode="External" /><Relationship Type="http://schemas.openxmlformats.org/officeDocument/2006/relationships/hyperlink" Id="rId10" Target="file:///c:/Users/alejo/Downloads/segundoProyecto/backend/src/controllers/boletinController.ts" TargetMode="External" /><Relationship Type="http://schemas.openxmlformats.org/officeDocument/2006/relationships/hyperlink" Id="rId12" Target="file:///c:/Users/alejo/Downloads/segundoProyecto/backend/src/migrations/041_decision_promocion_directivo.sql" TargetMode="External" /><Relationship Type="http://schemas.openxmlformats.org/officeDocument/2006/relationships/hyperlink" Id="rId9" Target="file:///c:/Users/alejo/Downloads/segundoProyecto/backend/src/services/matriculaService.ts" TargetMode="External" /><Relationship Type="http://schemas.openxmlformats.org/officeDocument/2006/relationships/hyperlink" Id="rId21" Target="file:///c:/Users/alejo/Downloads/segundoProyecto/backend/src/services/matriculaService.ts#L27-L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2026-08-17T21:33:09Z</dcterms:created>
  <dcterms:modified xsi:type="dcterms:W3CDTF">2026-08-17T21:33:09Z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