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88526da573832bb608b64b8fb2597921143d98"/>
    <w:p>
      <w:pPr>
        <w:pStyle w:val="Heading1"/>
      </w:pPr>
      <w:r>
        <w:t xml:space="preserve">Documento Técnico de Seguridad — AcademiaNeiva</w:t>
      </w:r>
    </w:p>
    <w:p>
      <w:r>
        <w:pict>
          <v:rect style="width:0;height:1.5pt" o:hralign="center" o:hrstd="t" o:hr="t"/>
        </w:pict>
      </w:r>
    </w:p>
    <w:bookmarkStart w:id="10" w:name="información-general"/>
    <w:p>
      <w:pPr>
        <w:pStyle w:val="Heading2"/>
      </w:pPr>
      <w:r>
        <w:t xml:space="preserve">1. Información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t xml:space="preserve">AcademiaNeiva — Portal de Gestión Académica y Curricular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2.5.0 (Producción)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16 de agosto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Equipo de Seguridad, Arquitectura e Ingeniería de AcademiaNeiva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del documento</w:t>
            </w:r>
          </w:p>
        </w:tc>
        <w:tc>
          <w:tcPr/>
          <w:p>
            <w:pPr>
              <w:pStyle w:val="Compact"/>
            </w:pPr>
            <w:r>
              <w:t xml:space="preserve">Documentar, evaluar y registrar el estado actual de la protección y seguridad del sistema AcademiaNeiva en todas sus capas: frontend, backend, base de datos, autenticación, validación estática Kysely/Zod, verificación transaccional OTP, infraestructura y servicios 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Cubre la totalidad de los 21 módulos de la plataforma en su estado actual desplegado en producción sobre VPS con Docker.</w:t>
            </w:r>
          </w:p>
        </w:tc>
      </w:tr>
    </w:tbl>
    <w:bookmarkStart w:id="9" w:name="componentes-cubiertos"/>
    <w:p>
      <w:pPr>
        <w:pStyle w:val="Heading3"/>
      </w:pPr>
      <w:r>
        <w:t xml:space="preserve">1.1 Componentes Cubiertos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Vue 3 + Vite + TypeScript + Pinia + Vanilla CSS / Tailwind</w:t>
            </w:r>
          </w:p>
        </w:tc>
        <w:tc>
          <w:tcPr/>
          <w:p>
            <w:pPr>
              <w:pStyle w:val="Compact"/>
            </w:pPr>
            <w:r>
              <w:t xml:space="preserve">SPA servida por Nginx dentro de contenedor Docker (</w:t>
            </w:r>
            <w:r>
              <w:rPr>
                <w:rStyle w:val="VerbatimChar"/>
              </w:rPr>
              <w:t xml:space="preserve">nginx:alpine</w:t>
            </w:r>
            <w:r>
              <w:t xml:space="preserve">) con Route Guards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/ API</w:t>
            </w:r>
          </w:p>
        </w:tc>
        <w:tc>
          <w:tcPr/>
          <w:p>
            <w:pPr>
              <w:pStyle w:val="Compact"/>
            </w:pPr>
            <w:r>
              <w:t xml:space="preserve">Node.js + Express 5 + TypeScript + Kysely + Zod</w:t>
            </w:r>
          </w:p>
        </w:tc>
        <w:tc>
          <w:tcPr/>
          <w:p>
            <w:pPr>
              <w:pStyle w:val="Compact"/>
            </w:pPr>
            <w:r>
              <w:t xml:space="preserve">API REST servida en contenedor Docker (</w:t>
            </w:r>
            <w:r>
              <w:rPr>
                <w:rStyle w:val="VerbatimChar"/>
              </w:rPr>
              <w:t xml:space="preserve">node:22-alpine</w:t>
            </w:r>
            <w:r>
              <w:t xml:space="preserve">), puerto 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Contenedor Docker con volumen persistente, red interna aislada y triggers PL/pgSQL de inmutabilidad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(jsonwebtoken) + bcrypt + Token Blacklist (</w:t>
            </w:r>
            <w:r>
              <w:rPr>
                <w:rStyle w:val="VerbatimChar"/>
              </w:rPr>
              <w:t xml:space="preserve">jti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Tokens Bearer con JTI, blacklist en BD, expiración 8h y revocación atómica por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OTP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codigo_verificacion_email</w:t>
            </w:r>
            <w:r>
              <w:t xml:space="preserve"> </w:t>
            </w:r>
            <w:r>
              <w:t xml:space="preserve">+ Nodemailer SMTP</w:t>
            </w:r>
          </w:p>
        </w:tc>
        <w:tc>
          <w:tcPr/>
          <w:p>
            <w:pPr>
              <w:pStyle w:val="Compact"/>
            </w:pPr>
            <w:r>
              <w:t xml:space="preserve">Códigos temporales de 6 dígitos numéricos con expiración de 15 minutos para trámites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VPS Linux + Docker Compose + Nginx (proxy inverso) + SSH</w:t>
            </w:r>
          </w:p>
        </w:tc>
        <w:tc>
          <w:tcPr/>
          <w:p>
            <w:pPr>
              <w:pStyle w:val="Compact"/>
            </w:pPr>
            <w:r>
              <w:t xml:space="preserve">Containerización con redes segmentadas, proxy inverso externo y headers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 externos</w:t>
            </w:r>
          </w:p>
        </w:tc>
        <w:tc>
          <w:tcPr/>
          <w:p>
            <w:pPr>
              <w:pStyle w:val="Compact"/>
            </w:pPr>
            <w:r>
              <w:t xml:space="preserve">SMTP (Nodemailer) + Socket.io (WebSockets)</w:t>
            </w:r>
          </w:p>
        </w:tc>
        <w:tc>
          <w:tcPr/>
          <w:p>
            <w:pPr>
              <w:pStyle w:val="Compact"/>
            </w:pPr>
            <w:r>
              <w:t xml:space="preserve">Correo transaccional, códigos OTP y notificaciones en tiempo real con autenticación 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objetivos-de-seguridad"/>
    <w:p>
      <w:pPr>
        <w:pStyle w:val="Heading2"/>
      </w:pPr>
      <w:r>
        <w:t xml:space="preserve">2. Objetivos de Seguridad</w:t>
      </w:r>
    </w:p>
    <w:bookmarkStart w:id="11" w:name="tríada-cia-extensiones"/>
    <w:p>
      <w:pPr>
        <w:pStyle w:val="Heading3"/>
      </w:pPr>
      <w:r>
        <w:t xml:space="preserve">2.1 Tríada CIA + Extensiones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Solo usuarios autorizados acceden a la información según su rol e institución</w:t>
            </w:r>
          </w:p>
        </w:tc>
        <w:tc>
          <w:tcPr/>
          <w:p>
            <w:pPr>
              <w:pStyle w:val="Compact"/>
            </w:pPr>
            <w:r>
              <w:t xml:space="preserve">✅ Implementado — RBAC por JWT + middlewares de rol + aislamiento multi-tenant por</w:t>
            </w:r>
            <w:r>
              <w:t xml:space="preserve"> </w:t>
            </w: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Los datos no pueden modificarse de forma indebida ni en periodos cerrados</w:t>
            </w:r>
          </w:p>
        </w:tc>
        <w:tc>
          <w:tcPr/>
          <w:p>
            <w:pPr>
              <w:pStyle w:val="Compact"/>
            </w:pPr>
            <w:r>
              <w:t xml:space="preserve">✅ Implementado — DTOs con Zod, consultas tipadas Kysely, transacciones SQL y triggers PL/pgSQL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El sistema permanece operativo y protegido contra abusos</w:t>
            </w:r>
          </w:p>
        </w:tc>
        <w:tc>
          <w:tcPr/>
          <w:p>
            <w:pPr>
              <w:pStyle w:val="Compact"/>
            </w:pPr>
            <w:r>
              <w:t xml:space="preserve">✅ Implementado — Docker restart:always, healthchecks, rate limiting diferenciado (Global, Login, Matrícula)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Autenticidad</w:t>
            </w:r>
          </w:p>
        </w:tc>
        <w:tc>
          <w:tcPr/>
          <w:p>
            <w:pPr>
              <w:pStyle w:val="Compact"/>
            </w:pPr>
            <w:r>
              <w:t xml:space="preserve">Cada acción es rastreable a un usuario verificado</w:t>
            </w:r>
          </w:p>
        </w:tc>
        <w:tc>
          <w:tcPr/>
          <w:p>
            <w:pPr>
              <w:pStyle w:val="Compact"/>
            </w:pPr>
            <w:r>
              <w:t xml:space="preserve">✅ Implementado — JWT con JTI único, verificación de estado en BD y validación previa de correos vía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Registro de acciones críticas para auditoría legal</w:t>
            </w:r>
          </w:p>
        </w:tc>
        <w:tc>
          <w:tcPr/>
          <w:p>
            <w:pPr>
              <w:pStyle w:val="Compact"/>
            </w:pPr>
            <w:r>
              <w:t xml:space="preserve">✅ Implementado — Módulo de supervisión con captura de deltas JSONB (</w:t>
            </w:r>
            <w:r>
              <w:rPr>
                <w:rStyle w:val="VerbatimChar"/>
              </w:rPr>
              <w:t xml:space="preserve">valor_antiguo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valor_nuevo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acceso</w:t>
            </w:r>
          </w:p>
        </w:tc>
        <w:tc>
          <w:tcPr/>
          <w:p>
            <w:pPr>
              <w:pStyle w:val="Compact"/>
            </w:pPr>
            <w:r>
              <w:t xml:space="preserve">Acceso granular basado en roles y contexto institucional</w:t>
            </w:r>
          </w:p>
        </w:tc>
        <w:tc>
          <w:tcPr/>
          <w:p>
            <w:pPr>
              <w:pStyle w:val="Compact"/>
            </w:pPr>
            <w:r>
              <w:t xml:space="preserve">✅ Implementado — 5 roles base + Modo Acompañamiento Pedagógico de Directivo en solo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Protección sensible</w:t>
            </w:r>
          </w:p>
        </w:tc>
        <w:tc>
          <w:tcPr/>
          <w:p>
            <w:pPr>
              <w:pStyle w:val="Compact"/>
            </w:pPr>
            <w:r>
              <w:t xml:space="preserve">Documentos de menores y credenciales protegidas</w:t>
            </w:r>
          </w:p>
        </w:tc>
        <w:tc>
          <w:tcPr/>
          <w:p>
            <w:pPr>
              <w:pStyle w:val="Compact"/>
            </w:pPr>
            <w:r>
              <w:t xml:space="preserve">✅ Implementado — URLs firmadas temporales, tokens anti-IDOR y aislamiento de contraseñas de terceros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arquitectura-de-seguridad"/>
    <w:p>
      <w:pPr>
        <w:pStyle w:val="Heading2"/>
      </w:pPr>
      <w:r>
        <w:t xml:space="preserve">3. Arquitectura de Seguridad</w:t>
      </w:r>
    </w:p>
    <w:bookmarkStart w:id="16" w:name="diagrama-de-capas-de-seguridad"/>
    <w:p>
      <w:pPr>
        <w:pStyle w:val="Heading3"/>
      </w:pPr>
      <w:r>
        <w:t xml:space="preserve">3.1 Diagrama de Capas de Seguridad</w:t>
      </w:r>
    </w:p>
    <w:p>
      <w:pPr>
        <w:pStyle w:val="CaptionedFigure"/>
      </w:pPr>
      <w:r>
        <w:drawing>
          <wp:inline>
            <wp:extent cx="5334000" cy="9646117"/>
            <wp:effectExtent b="0" l="0" r="0" t="0"/>
            <wp:docPr descr="Diagrama" title="" id="1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0e6daa3aba036943d64569af2783e4b9f5e7ba3a4b590326e1efae1c05880bb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16"/>
    <w:bookmarkStart w:id="17" w:name="segmentación-de-red-docker"/>
    <w:p>
      <w:pPr>
        <w:pStyle w:val="Heading3"/>
      </w:pPr>
      <w:r>
        <w:t xml:space="preserve">3.2 Segmentación de Red Docker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Contenedores con acceso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proxy-network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  <w:tc>
          <w:tcPr/>
          <w:p>
            <w:pPr>
              <w:pStyle w:val="Compact"/>
            </w:pPr>
            <w:r>
              <w:t xml:space="preserve">Comunicación con el proxy inverso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academia-internal</w:t>
            </w:r>
          </w:p>
        </w:tc>
        <w:tc>
          <w:tcPr/>
          <w:p>
            <w:pPr>
              <w:pStyle w:val="Compact"/>
            </w:pPr>
            <w:r>
              <w:t xml:space="preserve">Bridge aislada</w:t>
            </w:r>
          </w:p>
        </w:tc>
        <w:tc>
          <w:tcPr/>
          <w:p>
            <w:pPr>
              <w:pStyle w:val="Compact"/>
            </w:pPr>
            <w:r>
              <w:t xml:space="preserve">Backend, PostgreSQL</w:t>
            </w:r>
          </w:p>
        </w:tc>
        <w:tc>
          <w:tcPr/>
          <w:p>
            <w:pPr>
              <w:pStyle w:val="Compact"/>
            </w:pPr>
            <w:r>
              <w:t xml:space="preserve">Aislamiento estricto de la base de datos del exterior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PostgreSQL NO está expuesto a la red externa</w:t>
      </w:r>
      <w:r>
        <w:t xml:space="preserve">. Solo el contenedor del backend tiene acceso a la base de datos a través de la red interna</w:t>
      </w:r>
      <w:r>
        <w:t xml:space="preserve"> </w:t>
      </w:r>
      <w:r>
        <w:rPr>
          <w:rStyle w:val="VerbatimChar"/>
        </w:rPr>
        <w:t xml:space="preserve">academia-internal</w:t>
      </w:r>
      <w:r>
        <w:t xml:space="preserve">. Esto previene ataques directos de fuerza bruta o escaneo de puertos sobre la base de datos.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X9836edb332c4aa285af258573fdbe2725d715f8"/>
    <w:p>
      <w:pPr>
        <w:pStyle w:val="Heading2"/>
      </w:pPr>
      <w:r>
        <w:t xml:space="preserve">4. Autenticación, Gestión de Sesiones y Verificación OTP</w:t>
      </w:r>
    </w:p>
    <w:bookmarkStart w:id="22" w:name="flujo-de-autenticación-unificado"/>
    <w:p>
      <w:pPr>
        <w:pStyle w:val="Heading3"/>
      </w:pPr>
      <w:r>
        <w:t xml:space="preserve">4.1 Flujo de Autenticación Unificado</w:t>
      </w:r>
    </w:p>
    <w:p>
      <w:pPr>
        <w:pStyle w:val="CaptionedFigure"/>
      </w:pPr>
      <w:r>
        <w:drawing>
          <wp:inline>
            <wp:extent cx="5334000" cy="5110864"/>
            <wp:effectExtent b="0" l="0" r="0" t="0"/>
            <wp:docPr descr="Diagrama" title="" id="2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f5fe7d565bcce4ebd34ba997be21c2699c602a8d0deecb5a4b78f001a72097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2"/>
    <w:bookmarkStart w:id="26" w:name="X8b1ef11542a29e99eabee480141d6928526849f"/>
    <w:p>
      <w:pPr>
        <w:pStyle w:val="Heading3"/>
      </w:pPr>
      <w:r>
        <w:t xml:space="preserve">4.2 Verificación OTP Transaccional de Doble Factor (One-Time Password)</w:t>
      </w:r>
    </w:p>
    <w:p>
      <w:pPr>
        <w:pStyle w:val="FirstParagraph"/>
      </w:pPr>
      <w:r>
        <w:t xml:space="preserve">Para prevenir la suplantación de identidad y el registro de correos electrónicos ficticios o mal escritos, el sistema implementa verificación OTP obligatoria:</w:t>
      </w:r>
    </w:p>
    <w:p>
      <w:pPr>
        <w:pStyle w:val="CaptionedFigure"/>
      </w:pPr>
      <w:r>
        <w:drawing>
          <wp:inline>
            <wp:extent cx="5334000" cy="2765467"/>
            <wp:effectExtent b="0" l="0" r="0" t="0"/>
            <wp:docPr descr="Diagrama" title="" id="2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54a2776d3999065603129dfb6e07fe5b69a4ef6178f395e6ddc3265cd528083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Endpoint de Emisión</w:t>
            </w:r>
          </w:p>
        </w:tc>
        <w:tc>
          <w:tcPr/>
          <w:p>
            <w:pPr>
              <w:pStyle w:val="Compact"/>
            </w:pPr>
            <w:r>
              <w:t xml:space="preserve">Endpoint de Validación</w:t>
            </w:r>
          </w:p>
        </w:tc>
        <w:tc>
          <w:tcPr/>
          <w:p>
            <w:pPr>
              <w:pStyle w:val="Compact"/>
            </w:pPr>
            <w:r>
              <w:t xml:space="preserve">Expiración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/api/matriculas/send-email-code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/api/matriculas/verify-email-code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Cambio de Correo en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/api/auth/profile/request-email-change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/api/auth/profile/confirm-email-change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</w:tr>
    </w:tbl>
    <w:bookmarkEnd w:id="26"/>
    <w:bookmarkStart w:id="29" w:name="configuración-jwt"/>
    <w:p>
      <w:pPr>
        <w:pStyle w:val="Heading3"/>
      </w:pPr>
      <w:r>
        <w:t xml:space="preserve">4.3 Configuración JWT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Archivo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HS256 (con firma HMAC-SHA256)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Expiración</w:t>
            </w:r>
          </w:p>
        </w:tc>
        <w:tc>
          <w:tcPr/>
          <w:p>
            <w:pPr>
              <w:pStyle w:val="Compact"/>
            </w:pPr>
            <w:r>
              <w:t xml:space="preserve">8 horas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Secreto</w:t>
            </w:r>
          </w:p>
        </w:tc>
        <w:tc>
          <w:tcPr/>
          <w:p>
            <w:pPr>
              <w:pStyle w:val="Compact"/>
            </w:pPr>
            <w:r>
              <w:t xml:space="preserve">Variable de entorno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JTI (JWT ID)</w:t>
            </w:r>
          </w:p>
        </w:tc>
        <w:tc>
          <w:tcPr/>
          <w:p>
            <w:pPr>
              <w:pStyle w:val="Compact"/>
            </w:pPr>
            <w:r>
              <w:t xml:space="preserve">UUID v4 único por sesión (</w:t>
            </w:r>
            <w:r>
              <w:rPr>
                <w:rStyle w:val="VerbatimChar"/>
              </w:rPr>
              <w:t xml:space="preserve">crypto.randomUUID()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{id, email, role, roles[], schoolId, schoolIds[], jti}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</w:tbl>
    <w:bookmarkEnd w:id="29"/>
    <w:bookmarkStart w:id="31" w:name="mecanismos-de-invalidación-de-sesión"/>
    <w:p>
      <w:pPr>
        <w:pStyle w:val="Heading3"/>
      </w:pPr>
      <w:r>
        <w:t xml:space="preserve">4.4 Mecanismos de Invalidación de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Blacklist (JTI)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token_blacklist</w:t>
            </w:r>
            <w:r>
              <w:t xml:space="preserve"> </w:t>
            </w:r>
            <w:r>
              <w:t xml:space="preserve">en PostgreSQL con índice en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forzado (</w:t>
            </w: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 </w:t>
            </w:r>
            <w:r>
              <w:t xml:space="preserve">en tabla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. Tokens emitidos antes de este timestamp son rechazados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de estado en BD</w:t>
            </w:r>
          </w:p>
        </w:tc>
        <w:tc>
          <w:tcPr/>
          <w:p>
            <w:pPr>
              <w:pStyle w:val="Compact"/>
            </w:pPr>
            <w:r>
              <w:t xml:space="preserve">En cada petición se verifica que</w:t>
            </w:r>
            <w:r>
              <w:t xml:space="preserve"> </w:t>
            </w:r>
            <w:r>
              <w:rPr>
                <w:rStyle w:val="VerbatimChar"/>
              </w:rPr>
              <w:t xml:space="preserve">usuario.estado = 'ACTIVO'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Aislamiento en Perfiles</w:t>
            </w:r>
          </w:p>
        </w:tc>
        <w:tc>
          <w:tcPr/>
          <w:p>
            <w:pPr>
              <w:pStyle w:val="Compact"/>
            </w:pPr>
            <w:r>
              <w:t xml:space="preserve">El módulo de</w:t>
            </w:r>
            <w:r>
              <w:t xml:space="preserve"> </w:t>
            </w:r>
            <w:r>
              <w:t xml:space="preserve">“Mi Cuenta”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ProfileView.vue</w:t>
            </w:r>
            <w:r>
              <w:t xml:space="preserve">) restringe la gestión de contraseñas de terceros, delegándola a la consola administrativa de usuarios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ProfileView.vue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autorización-y-control-de-acceso-rbac"/>
    <w:p>
      <w:pPr>
        <w:pStyle w:val="Heading2"/>
      </w:pPr>
      <w:r>
        <w:t xml:space="preserve">5. Autorización y Control de Acceso (RBAC)</w:t>
      </w:r>
    </w:p>
    <w:bookmarkStart w:id="33" w:name="matriz-de-roles-del-sistema"/>
    <w:p>
      <w:pPr>
        <w:pStyle w:val="Heading3"/>
      </w:pPr>
      <w:r>
        <w:t xml:space="preserve">5.1 Matriz de Roles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Código interno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Middleware protector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admin_general</w:t>
            </w:r>
          </w:p>
        </w:tc>
        <w:tc>
          <w:tcPr/>
          <w:p>
            <w:pPr>
              <w:pStyle w:val="Compact"/>
            </w:pPr>
            <w:r>
              <w:t xml:space="preserve">Plataforma global multi-colegio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requireAdminGeneral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/ 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directivo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rector</w:t>
            </w:r>
          </w:p>
        </w:tc>
        <w:tc>
          <w:tcPr/>
          <w:p>
            <w:pPr>
              <w:pStyle w:val="Compact"/>
            </w:pPr>
            <w:r>
              <w:t xml:space="preserve">Colegio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requireDirectivo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Cursos y materias asignadas en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Hijos asociados en</w:t>
            </w:r>
            <w:r>
              <w:t xml:space="preserve"> </w:t>
            </w: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Expediente propio y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requireEstudiante</w:t>
            </w:r>
          </w:p>
        </w:tc>
      </w:tr>
    </w:tbl>
    <w:bookmarkEnd w:id="33"/>
    <w:bookmarkStart w:id="34" w:name="X6a561cb2fc20bcb0dcecf1a6425f67ba92281a6"/>
    <w:p>
      <w:pPr>
        <w:pStyle w:val="Heading3"/>
      </w:pPr>
      <w:r>
        <w:t xml:space="preserve">5.2 Protección por Módulo de Rutas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 de Rutas</w:t>
            </w:r>
          </w:p>
        </w:tc>
        <w:tc>
          <w:tcPr/>
          <w:p>
            <w:pPr>
              <w:pStyle w:val="Compact"/>
            </w:pPr>
            <w:r>
              <w:t xml:space="preserve">Endpoint Base</w:t>
            </w:r>
          </w:p>
        </w:tc>
        <w:tc>
          <w:tcPr/>
          <w:p>
            <w:pPr>
              <w:pStyle w:val="Compact"/>
            </w:pPr>
            <w:r>
              <w:t xml:space="preserve">Middleware Aplicado</w:t>
            </w:r>
          </w:p>
        </w:tc>
        <w:tc>
          <w:tcPr/>
          <w:p>
            <w:pPr>
              <w:pStyle w:val="Compact"/>
            </w:pPr>
            <w:r>
              <w:t xml:space="preserve">Nivel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 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(excepto login/OTP/reset público)</w:t>
            </w:r>
          </w:p>
        </w:tc>
        <w:tc>
          <w:tcPr/>
          <w:p>
            <w:pPr>
              <w:pStyle w:val="Compact"/>
            </w:pPr>
            <w:r>
              <w:t xml:space="preserve">Público /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 Gestión de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 Usuarios y 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 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 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 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(submit público con OTP)</w:t>
            </w:r>
          </w:p>
        </w:tc>
        <w:tc>
          <w:tcPr/>
          <w:p>
            <w:pPr>
              <w:pStyle w:val="Compact"/>
            </w:pPr>
            <w:r>
              <w:t xml:space="preserve">Público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 Estudiantes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(portal autenticado)</w:t>
            </w:r>
          </w:p>
        </w:tc>
        <w:tc>
          <w:tcPr/>
          <w:p>
            <w:pPr>
              <w:pStyle w:val="Compact"/>
            </w:pPr>
            <w:r>
              <w:t xml:space="preserve">Directivo / Alumno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 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 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 / requireDirectivo</w:t>
            </w:r>
          </w:p>
        </w:tc>
        <w:tc>
          <w:tcPr/>
          <w:p>
            <w:pPr>
              <w:pStyle w:val="Compact"/>
            </w:pPr>
            <w:r>
              <w:t xml:space="preserve">Docente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  <w:r>
              <w:t xml:space="preserve"> </w:t>
            </w:r>
            <w:r>
              <w:t xml:space="preserve">(lectura docente)</w:t>
            </w:r>
          </w:p>
        </w:tc>
        <w:tc>
          <w:tcPr/>
          <w:p>
            <w:pPr>
              <w:pStyle w:val="Compact"/>
            </w:pPr>
            <w:r>
              <w:t xml:space="preserve">Admin General / 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 / requireDirectivo</w:t>
            </w:r>
          </w:p>
        </w:tc>
        <w:tc>
          <w:tcPr/>
          <w:p>
            <w:pPr>
              <w:pStyle w:val="Compact"/>
            </w:pPr>
            <w:r>
              <w:t xml:space="preserve">Docente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 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 / 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(creación y seguimiento público Base36)</w:t>
            </w:r>
          </w:p>
        </w:tc>
        <w:tc>
          <w:tcPr/>
          <w:p>
            <w:pPr>
              <w:pStyle w:val="Compact"/>
            </w:pPr>
            <w:r>
              <w:t xml:space="preserve">Todos /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 Gestión de Padres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 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 / requireAdminGeneral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 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 Seguimiento Directivo</w:t>
            </w:r>
          </w:p>
        </w:tc>
        <w:tc>
          <w:tcPr/>
          <w:p>
            <w:pPr>
              <w:pStyle w:val="Compact"/>
            </w:pPr>
            <w:r>
              <w:t xml:space="preserve">(Auth Store Pinia)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+ Bloqueo de Mutaciones</w:t>
            </w:r>
          </w:p>
        </w:tc>
        <w:tc>
          <w:tcPr/>
          <w:p>
            <w:pPr>
              <w:pStyle w:val="Compact"/>
            </w:pPr>
            <w:r>
              <w:t xml:space="preserve">Directivo (Solo Lectura)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 Flujo de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/api/auth/otp</w:t>
            </w:r>
          </w:p>
        </w:tc>
        <w:tc>
          <w:tcPr/>
          <w:p>
            <w:pPr>
              <w:pStyle w:val="Compact"/>
            </w:pPr>
            <w:r>
              <w:t xml:space="preserve">Rate Limiter de OTP + Verificación SMTP</w:t>
            </w:r>
          </w:p>
        </w:tc>
        <w:tc>
          <w:tcPr/>
          <w:p>
            <w:pPr>
              <w:pStyle w:val="Compact"/>
            </w:pPr>
            <w:r>
              <w:t xml:space="preserve">Público / Autenticado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092504ecf629a67cf16eaddf243e52034a28718"/>
    <w:p>
      <w:pPr>
        <w:pStyle w:val="Heading2"/>
      </w:pPr>
      <w:r>
        <w:t xml:space="preserve">6. Validación de Entradas y Protección contra Inyección SQL</w:t>
      </w:r>
    </w:p>
    <w:bookmarkStart w:id="36" w:name="capa-declarativa-con-zod"/>
    <w:p>
      <w:pPr>
        <w:pStyle w:val="Heading3"/>
      </w:pPr>
      <w:r>
        <w:t xml:space="preserve">6.1 Capa Declarativa con Zod</w:t>
      </w:r>
    </w:p>
    <w:p>
      <w:pPr>
        <w:pStyle w:val="FirstParagraph"/>
      </w:pPr>
      <w:r>
        <w:t xml:space="preserve">Todas las peticiones mutativas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se validan mediante esquemas Zod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 </w:t>
      </w:r>
      <w:r>
        <w:t xml:space="preserve">antes de alcanzar los controladores: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Esquema DTO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Validaciones Críticas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SubmitEnrollmentSchema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matricula.dto.ts</w:t>
            </w:r>
          </w:p>
        </w:tc>
        <w:tc>
          <w:tcPr/>
          <w:p>
            <w:pPr>
              <w:pStyle w:val="Compact"/>
            </w:pPr>
            <w:r>
              <w:t xml:space="preserve">Email válido, OTP previo, teléfonos 7-20 dígitos, tamaño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TeacherCreateSchema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teacher.dto.ts</w:t>
            </w:r>
          </w:p>
        </w:tc>
        <w:tc>
          <w:tcPr/>
          <w:p>
            <w:pPr>
              <w:pStyle w:val="Compact"/>
            </w:pPr>
            <w:r>
              <w:t xml:space="preserve">Documento único, teléfono 7-20 dígitos con regex, contrato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ParentUpdateSchema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parent.dto.ts</w:t>
            </w:r>
          </w:p>
        </w:tc>
        <w:tc>
          <w:tcPr/>
          <w:p>
            <w:pPr>
              <w:pStyle w:val="Compact"/>
            </w:pPr>
            <w:r>
              <w:t xml:space="preserve">Teléfono de contacto, dirección,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EmailChangeSchema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profile.dto.ts</w:t>
            </w:r>
          </w:p>
        </w:tc>
        <w:tc>
          <w:tcPr/>
          <w:p>
            <w:pPr>
              <w:pStyle w:val="Compact"/>
            </w:pPr>
            <w:r>
              <w:t xml:space="preserve">Código OTP de 6 dígitos, nuevo email sin duplicidad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support.dto.ts</w:t>
            </w:r>
          </w:p>
        </w:tc>
        <w:tc>
          <w:tcPr/>
          <w:p>
            <w:pPr>
              <w:pStyle w:val="Compact"/>
            </w:pPr>
            <w:r>
              <w:t xml:space="preserve">Categorías enum, longitud asunto/descripción, reglas ping-pong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SupervisionRequestSchema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supervision.dto.ts</w:t>
            </w:r>
          </w:p>
        </w:tc>
        <w:tc>
          <w:tcPr/>
          <w:p>
            <w:pPr>
              <w:pStyle w:val="Compact"/>
            </w:pPr>
            <w:r>
              <w:t xml:space="preserve">Duración en minutos, motivo justificado, re-autenticación</w:t>
            </w:r>
          </w:p>
        </w:tc>
      </w:tr>
    </w:tbl>
    <w:bookmarkEnd w:id="36"/>
    <w:bookmarkStart w:id="37" w:name="capa-de-persistencia-tipada-con-kysely"/>
    <w:p>
      <w:pPr>
        <w:pStyle w:val="Heading3"/>
      </w:pPr>
      <w:r>
        <w:t xml:space="preserve">6.2 Capa de Persistencia Tipada con Kysely</w:t>
      </w:r>
    </w:p>
    <w:p>
      <w:pPr>
        <w:pStyle w:val="FirstParagraph"/>
      </w:pPr>
      <w:r>
        <w:t xml:space="preserve">El constructor de consultas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(</w:t>
      </w:r>
      <w:r>
        <w:rPr>
          <w:rStyle w:val="VerbatimChar"/>
        </w:rPr>
        <w:t xml:space="preserve">db.types.ts</w:t>
      </w:r>
      <w:r>
        <w:t xml:space="preserve">) previene la inyección SQL de forma estructural:</w:t>
      </w:r>
      <w:r>
        <w:t xml:space="preserve"> </w:t>
      </w:r>
      <w:r>
        <w:t xml:space="preserve">- Sustitución automática de parámetros (</w:t>
      </w:r>
      <w:r>
        <w:rPr>
          <w:rStyle w:val="VerbatimChar"/>
        </w:rPr>
        <w:t xml:space="preserve">$1, $2...</w:t>
      </w:r>
      <w:r>
        <w:t xml:space="preserve">) en el driver PostgreSQL.</w:t>
      </w:r>
      <w:r>
        <w:t xml:space="preserve"> </w:t>
      </w:r>
      <w:r>
        <w:t xml:space="preserve">- Comprobación estricta de tipos en tiempo de compilación (</w:t>
      </w:r>
      <w:r>
        <w:rPr>
          <w:rStyle w:val="VerbatimChar"/>
        </w:rPr>
        <w:t xml:space="preserve">tsc</w:t>
      </w:r>
      <w:r>
        <w:t xml:space="preserve">), impidiendo columnas o relaciones inexistentes.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rotección-contra-ataques-comunes"/>
    <w:p>
      <w:pPr>
        <w:pStyle w:val="Heading2"/>
      </w:pPr>
      <w:r>
        <w:t xml:space="preserve">7. Protección contra Ataques Comunes</w:t>
      </w:r>
    </w:p>
    <w:bookmarkStart w:id="40" w:name="rate-limiting-anti-fuerza-bruta-ddos"/>
    <w:p>
      <w:pPr>
        <w:pStyle w:val="Heading3"/>
      </w:pPr>
      <w:r>
        <w:t xml:space="preserve">7.1 Rate Limiting (Anti Fuerza Bruta / DDoS)</w:t>
      </w:r>
    </w:p>
    <w:p>
      <w:pPr>
        <w:pStyle w:val="FirstParagraph"/>
      </w:pPr>
      <w:r>
        <w:t xml:space="preserve">Configurado en</w:t>
      </w:r>
      <w:r>
        <w:t xml:space="preserve"> </w:t>
      </w:r>
      <w:hyperlink r:id="rId39">
        <w:r>
          <w:rPr>
            <w:rStyle w:val="Hyperlink"/>
          </w:rPr>
          <w:t xml:space="preserve">app.ts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Ventana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Rutas Protegidas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2000 req/IP</w:t>
            </w:r>
          </w:p>
        </w:tc>
        <w:tc>
          <w:tcPr/>
          <w:p>
            <w:pPr>
              <w:pStyle w:val="Compact"/>
            </w:pPr>
            <w:r>
              <w:t xml:space="preserve">Todas las rutas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50 intentos fallidos/IP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/api/auth/student-login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skipSuccessfulRequests: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 y OTP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30 req/IP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/api/matriculas/send-email-code</w:t>
            </w:r>
          </w:p>
        </w:tc>
      </w:tr>
    </w:tbl>
    <w:bookmarkEnd w:id="40"/>
    <w:bookmarkStart w:id="41" w:name="helmet-y-cabeceras-de-seguridad"/>
    <w:p>
      <w:pPr>
        <w:pStyle w:val="Heading3"/>
      </w:pPr>
      <w:r>
        <w:t xml:space="preserve">7.2 Helmet y Cabeceras de Seguridad</w:t>
      </w:r>
    </w:p>
    <w:p>
      <w:pPr>
        <w:pStyle w:val="FirstParagraph"/>
      </w:pPr>
      <w:r>
        <w:t xml:space="preserve">Configurado en</w:t>
      </w:r>
      <w:r>
        <w:t xml:space="preserve"> </w:t>
      </w:r>
      <w:hyperlink r:id="rId39">
        <w:r>
          <w:rPr>
            <w:rStyle w:val="Hyperlink"/>
          </w:rPr>
          <w:t xml:space="preserve">app.ts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: Scripts de origen propio, fuentes Google Fonts, imágenes autorizadas.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: Previene MIME-sniffing en documentos y descargas.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: Removido para ofuscar el stack backend.</w:t>
      </w:r>
    </w:p>
    <w:bookmarkEnd w:id="41"/>
    <w:bookmarkStart w:id="42" w:name="X14137b2c8683dcf025913d2d2b3ebd23ce6bc6a"/>
    <w:p>
      <w:pPr>
        <w:pStyle w:val="Heading3"/>
      </w:pPr>
      <w:r>
        <w:t xml:space="preserve">7.3 Protección Anti-IDOR en Documentos de Menores</w:t>
      </w:r>
    </w:p>
    <w:p>
      <w:pPr>
        <w:pStyle w:val="Compact"/>
        <w:numPr>
          <w:ilvl w:val="0"/>
          <w:numId w:val="1001"/>
        </w:numPr>
      </w:pPr>
      <w:r>
        <w:t xml:space="preserve">Las descargas de registros civiles y documentos de identidad requieren</w:t>
      </w:r>
      <w:r>
        <w:t xml:space="preserve"> </w:t>
      </w:r>
      <w:r>
        <w:rPr>
          <w:b/>
          <w:bCs/>
        </w:rPr>
        <w:t xml:space="preserve">tokens JWT firmados de 30 minutos</w:t>
      </w:r>
      <w:r>
        <w:t xml:space="preserve"> </w:t>
      </w:r>
      <w:r>
        <w:t xml:space="preserve">vinculados al</w:t>
      </w:r>
      <w:r>
        <w:t xml:space="preserve"> </w:t>
      </w:r>
      <w:r>
        <w:rPr>
          <w:rStyle w:val="VerbatimChar"/>
        </w:rPr>
        <w:t xml:space="preserve">id_documento</w:t>
      </w:r>
      <w:r>
        <w:t xml:space="preserve"> </w:t>
      </w:r>
      <w:r>
        <w:t xml:space="preserve">específico (</w:t>
      </w:r>
      <w:r>
        <w:rPr>
          <w:rStyle w:val="VerbatimChar"/>
        </w:rPr>
        <w:t xml:space="preserve">generateDocumentAccessToken</w:t>
      </w:r>
      <w:r>
        <w:t xml:space="preserve">), denegando la manipulación de IDs en la URL.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uditoría-y-modos-de-solo-lectura"/>
    <w:p>
      <w:pPr>
        <w:pStyle w:val="Heading2"/>
      </w:pPr>
      <w:r>
        <w:t xml:space="preserve">8. Auditoría y Modos de Solo Lectura</w:t>
      </w:r>
    </w:p>
    <w:bookmarkStart w:id="44" w:name="auditoría-de-supervisión-externa"/>
    <w:p>
      <w:pPr>
        <w:pStyle w:val="Heading3"/>
      </w:pPr>
      <w:r>
        <w:t xml:space="preserve">8.1 Auditoría de Supervisión Externa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Bitácora Inmutable</w:t>
      </w:r>
      <w:r>
        <w:t xml:space="preserve">: Triggers PL/pgSQL impiden la ejecución de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Captura de Deltas JSONB</w:t>
      </w:r>
      <w:r>
        <w:t xml:space="preserve">: Cada modificación registra el objeto original en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 </w:t>
      </w:r>
      <w:r>
        <w:t xml:space="preserve">y el modificado en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Filtro de Año Lectivo</w:t>
      </w:r>
      <w:r>
        <w:t xml:space="preserve">: La visualización en la consola directiva se aísla por el</w:t>
      </w:r>
      <w:r>
        <w:t xml:space="preserve"> </w:t>
      </w:r>
      <w:r>
        <w:rPr>
          <w:rStyle w:val="VerbatimChar"/>
        </w:rPr>
        <w:t xml:space="preserve">id_anio</w:t>
      </w:r>
      <w:r>
        <w:t xml:space="preserve"> </w:t>
      </w:r>
      <w:r>
        <w:t xml:space="preserve">activo para evitar mezclas históricas.</w:t>
      </w:r>
    </w:p>
    <w:bookmarkEnd w:id="44"/>
    <w:bookmarkStart w:id="45" w:name="Xa7c21b4395e2a7850743baa21ebd1446ee218de"/>
    <w:p>
      <w:pPr>
        <w:pStyle w:val="Heading3"/>
      </w:pPr>
      <w:r>
        <w:t xml:space="preserve">8.2 Acompañamiento Pedagógico (Seguimiento Directivo)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Solo Lectura</w:t>
      </w:r>
      <w:r>
        <w:t xml:space="preserve">: La interfaz inhabilita formularios de edición de notas, observador y asistencias.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Bloqueo de Traslados</w:t>
      </w:r>
      <w:r>
        <w:t xml:space="preserve">: El Route Guard bloquea el acceso 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 </w:t>
      </w:r>
      <w:r>
        <w:t xml:space="preserve">durante el seguimiento pedagógico para prevenir alteraciones institucionales.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8b11f21891cd7f89488df13292fe1e0bf548e05"/>
    <w:p>
      <w:pPr>
        <w:pStyle w:val="Heading2"/>
      </w:pPr>
      <w:r>
        <w:t xml:space="preserve">9. Scorecard y Nivel de Madurez de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Controles Implementados</w:t>
            </w:r>
          </w:p>
        </w:tc>
        <w:tc>
          <w:tcPr/>
          <w:p>
            <w:pPr>
              <w:pStyle w:val="Compact"/>
            </w:pPr>
            <w:r>
              <w:t xml:space="preserve">Calificación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y Sesiones</w:t>
            </w:r>
          </w:p>
        </w:tc>
        <w:tc>
          <w:tcPr/>
          <w:p>
            <w:pPr>
              <w:pStyle w:val="Compact"/>
            </w:pPr>
            <w:r>
              <w:t xml:space="preserve">JWT + JTI + Blacklist + logged_out_at + bcrypt 10 rondas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Transaccional</w:t>
            </w:r>
          </w:p>
        </w:tc>
        <w:tc>
          <w:tcPr/>
          <w:p>
            <w:pPr>
              <w:pStyle w:val="Compact"/>
            </w:pPr>
            <w:r>
              <w:t xml:space="preserve">OTP de 6 dígitos numéricos (15 min) en matrículas y perfil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Autorización (RBAC)</w:t>
            </w:r>
          </w:p>
        </w:tc>
        <w:tc>
          <w:tcPr/>
          <w:p>
            <w:pPr>
              <w:pStyle w:val="Compact"/>
            </w:pPr>
            <w:r>
              <w:t xml:space="preserve">5 roles base + Modo Acompañamiento Directivo + Multi-Tenant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de Datos</w:t>
            </w:r>
          </w:p>
        </w:tc>
        <w:tc>
          <w:tcPr/>
          <w:p>
            <w:pPr>
              <w:pStyle w:val="Compact"/>
            </w:pPr>
            <w:r>
              <w:t xml:space="preserve">Zod DTOs declarativos + Kysely Query Builder tipado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Protección de Documentos</w:t>
            </w:r>
          </w:p>
        </w:tc>
        <w:tc>
          <w:tcPr/>
          <w:p>
            <w:pPr>
              <w:pStyle w:val="Compact"/>
            </w:pPr>
            <w:r>
              <w:t xml:space="preserve">Tokens anti-IDOR firmados + URLs temporales + Cabeceras anti-caché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e Inmutabilidad</w:t>
            </w:r>
          </w:p>
        </w:tc>
        <w:tc>
          <w:tcPr/>
          <w:p>
            <w:pPr>
              <w:pStyle w:val="Compact"/>
            </w:pPr>
            <w:r>
              <w:t xml:space="preserve">Deltas JSONB + Triggers PL/pgSQL + Filtro por Año Lectivo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&amp; Headers</w:t>
            </w:r>
          </w:p>
        </w:tc>
        <w:tc>
          <w:tcPr/>
          <w:p>
            <w:pPr>
              <w:pStyle w:val="Compact"/>
            </w:pPr>
            <w:r>
              <w:t xml:space="preserve">Helmet CSP + CORS estricto + Limitadores por IP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 Docker</w:t>
            </w:r>
          </w:p>
        </w:tc>
        <w:tc>
          <w:tcPr/>
          <w:p>
            <w:pPr>
              <w:pStyle w:val="Compact"/>
            </w:pPr>
            <w:r>
              <w:t xml:space="preserve">Red aislada interna para PostgreSQL + Multi-stage builds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lockText"/>
      </w:pPr>
      <w:r>
        <w:rPr>
          <w:b/>
          <w:bCs/>
        </w:rPr>
        <w:t xml:space="preserve">Nivel de Madurez de Seguridad General: EXCELENTE (4.8 / 5.0)</w:t>
      </w:r>
      <w:r>
        <w:br/>
      </w:r>
      <w:r>
        <w:t xml:space="preserve">La incorporación de validaciones Zod universales, Kysely Query Builder, verificación transaccional OTP y aislamiento estricto en acompañamiento pedagógico consolida una postura de defensa en profundidad sólida y resiliente.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actualizado y verificado el 16 de agosto de 2026 bajo el estándar de ingeniería y seguridad de AcademiaNeiva.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9" Target="file:///c:/Users/alejo/Downloads/segundoProyecto/backend/src/app.ts" TargetMode="External" /><Relationship Type="http://schemas.openxmlformats.org/officeDocument/2006/relationships/hyperlink" Id="rId27" Target="file:///c:/Users/alejo/Downloads/segundoProyecto/backend/src/controllers/authController.ts" TargetMode="External" /><Relationship Type="http://schemas.openxmlformats.org/officeDocument/2006/relationships/hyperlink" Id="rId28" Target="file:///c:/Users/alejo/Downloads/segundoProyecto/backend/src/middleware/authMiddleware.ts" TargetMode="External" /><Relationship Type="http://schemas.openxmlformats.org/officeDocument/2006/relationships/hyperlink" Id="rId30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file:///c:/Users/alejo/Downloads/segundoProyecto/backend/src/app.ts" TargetMode="External" /><Relationship Type="http://schemas.openxmlformats.org/officeDocument/2006/relationships/hyperlink" Id="rId27" Target="file:///c:/Users/alejo/Downloads/segundoProyecto/backend/src/controllers/authController.ts" TargetMode="External" /><Relationship Type="http://schemas.openxmlformats.org/officeDocument/2006/relationships/hyperlink" Id="rId28" Target="file:///c:/Users/alejo/Downloads/segundoProyecto/backend/src/middleware/authMiddleware.ts" TargetMode="External" /><Relationship Type="http://schemas.openxmlformats.org/officeDocument/2006/relationships/hyperlink" Id="rId30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2026-08-17T21:33:09Z</dcterms:created>
  <dcterms:modified xsi:type="dcterms:W3CDTF">2026-08-17T21:33:09Z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