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0f805342cd9c8e56f91f7effc2c01ab367682b"/>
    <w:p>
      <w:pPr>
        <w:pStyle w:val="Heading1"/>
      </w:pPr>
      <w:r>
        <w:t xml:space="preserve">Especificación de Requisitos de Software (SRS) — Norma IEEE Std 830-1998</w:t>
      </w:r>
    </w:p>
    <w:p>
      <w:r>
        <w:pict>
          <v:rect style="width:0;height:1.5pt" o:hralign="center" o:hrstd="t" o:hr="t"/>
        </w:pict>
      </w:r>
    </w:p>
    <w:bookmarkStart w:id="9" w:name="proyecto-gedasc"/>
    <w:p>
      <w:pPr>
        <w:pStyle w:val="Heading2"/>
      </w:pPr>
      <w:r>
        <w:t xml:space="preserve">Proyecto: GEDASC</w:t>
      </w:r>
    </w:p>
    <w:p>
      <w:pPr>
        <w:pStyle w:val="FirstParagraph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 Regional Caquetá</w:t>
      </w:r>
      <w:r>
        <w:br/>
      </w:r>
      <w:r>
        <w:rPr>
          <w:b/>
          <w:bCs/>
        </w:rPr>
        <w:t xml:space="preserve">Versión de Revisión</w:t>
      </w:r>
      <w:r>
        <w:t xml:space="preserve">: 2.8 Oficial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icha-del-documento"/>
    <w:p>
      <w:pPr>
        <w:pStyle w:val="Heading1"/>
      </w:pPr>
      <w:r>
        <w:t xml:space="preserve">Ficha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Dep.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18/08/2026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Ingeniería de Software — GEDASC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— Comité Técnico CTA</w:t>
            </w:r>
          </w:p>
        </w:tc>
      </w:tr>
    </w:tbl>
    <w:bookmarkStart w:id="11" w:name="Xa881e4c200a6f990e150c5c29a43e42d0a3724c"/>
    <w:p>
      <w:pPr>
        <w:pStyle w:val="Heading3"/>
      </w:pPr>
      <w:r>
        <w:t xml:space="preserve">Documento validado por las partes en fecha: 18 de agosto de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 el Cliente (SENA — 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Equipo de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Fdo.</w:t>
            </w:r>
            <w:r>
              <w:t xml:space="preserve"> </w:t>
            </w:r>
            <w:r>
              <w:t xml:space="preserve">Coordinación Académica y de Formación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Fdo.</w:t>
            </w:r>
            <w:r>
              <w:t xml:space="preserve"> </w:t>
            </w:r>
            <w:r>
              <w:t xml:space="preserve">Líder Técnico y Arquitecto de Software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contenido"/>
    <w:p>
      <w:pPr>
        <w:pStyle w:val="Heading1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 Introducción</w:t>
        </w:r>
      </w:hyperlink>
    </w:p>
    <w:p>
      <w:pPr>
        <w:pStyle w:val="Compact"/>
        <w:numPr>
          <w:ilvl w:val="1"/>
          <w:numId w:val="1002"/>
        </w:numPr>
      </w:pPr>
      <w:hyperlink w:anchor="X53ca1eb396407438b910fbafb578b446b614ca3">
        <w:r>
          <w:rPr>
            <w:rStyle w:val="Hyperlink"/>
          </w:rPr>
          <w:t xml:space="preserve">1.1 Propósito</w:t>
        </w:r>
      </w:hyperlink>
    </w:p>
    <w:p>
      <w:pPr>
        <w:pStyle w:val="Compact"/>
        <w:numPr>
          <w:ilvl w:val="1"/>
          <w:numId w:val="1002"/>
        </w:numPr>
      </w:pPr>
      <w:hyperlink w:anchor="X807e0e4b2e93a972a9fa0860b3c406e1abe614d">
        <w:r>
          <w:rPr>
            <w:rStyle w:val="Hyperlink"/>
          </w:rPr>
          <w:t xml:space="preserve">1.2 Alcance</w:t>
        </w:r>
      </w:hyperlink>
    </w:p>
    <w:p>
      <w:pPr>
        <w:pStyle w:val="Compact"/>
        <w:numPr>
          <w:ilvl w:val="1"/>
          <w:numId w:val="1002"/>
        </w:numPr>
      </w:pPr>
      <w:hyperlink w:anchor="X3c32702167a50f9f1e47f548e3fd9a17f4efae6">
        <w:r>
          <w:rPr>
            <w:rStyle w:val="Hyperlink"/>
          </w:rPr>
          <w:t xml:space="preserve">1.3 Personal involucrado</w:t>
        </w:r>
      </w:hyperlink>
    </w:p>
    <w:p>
      <w:pPr>
        <w:pStyle w:val="Compact"/>
        <w:numPr>
          <w:ilvl w:val="1"/>
          <w:numId w:val="1002"/>
        </w:numPr>
      </w:pPr>
      <w:hyperlink w:anchor="X202ce33122313366988e60811cd45f2e3fac5ed">
        <w:r>
          <w:rPr>
            <w:rStyle w:val="Hyperlink"/>
          </w:rPr>
          <w:t xml:space="preserve">1.4 Definiciones, acrónimos y abreviaturas</w:t>
        </w:r>
      </w:hyperlink>
    </w:p>
    <w:p>
      <w:pPr>
        <w:pStyle w:val="Compact"/>
        <w:numPr>
          <w:ilvl w:val="1"/>
          <w:numId w:val="1002"/>
        </w:numPr>
      </w:pPr>
      <w:hyperlink w:anchor="X00ae3337cd234d2dcdfae582582fa00fca936d8">
        <w:r>
          <w:rPr>
            <w:rStyle w:val="Hyperlink"/>
          </w:rPr>
          <w:t xml:space="preserve">1.5 Referencias</w:t>
        </w:r>
      </w:hyperlink>
    </w:p>
    <w:p>
      <w:pPr>
        <w:pStyle w:val="Compact"/>
        <w:numPr>
          <w:ilvl w:val="1"/>
          <w:numId w:val="1002"/>
        </w:numPr>
      </w:pPr>
      <w:hyperlink w:anchor="X70674525a5257a2758557afeb02f4d7b39768cf">
        <w:r>
          <w:rPr>
            <w:rStyle w:val="Hyperlink"/>
          </w:rPr>
          <w:t xml:space="preserve">1.6 Resumen</w:t>
        </w:r>
      </w:hyperlink>
    </w:p>
    <w:p>
      <w:pPr>
        <w:pStyle w:val="Compact"/>
        <w:numPr>
          <w:ilvl w:val="0"/>
          <w:numId w:val="1001"/>
        </w:numPr>
      </w:pPr>
      <w:hyperlink w:anchor="X272b38cfc2ff6ab53ecdbfe24b7ba0e5f181bd6">
        <w:r>
          <w:rPr>
            <w:rStyle w:val="Hyperlink"/>
          </w:rPr>
          <w:t xml:space="preserve">2 Descripción general</w:t>
        </w:r>
      </w:hyperlink>
    </w:p>
    <w:p>
      <w:pPr>
        <w:pStyle w:val="Compact"/>
        <w:numPr>
          <w:ilvl w:val="1"/>
          <w:numId w:val="1003"/>
        </w:numPr>
      </w:pPr>
      <w:hyperlink w:anchor="X530c4174996bbc2c9398cdddea6478430b49400">
        <w:r>
          <w:rPr>
            <w:rStyle w:val="Hyperlink"/>
          </w:rPr>
          <w:t xml:space="preserve">2.1 Perspectiva del producto</w:t>
        </w:r>
      </w:hyperlink>
    </w:p>
    <w:p>
      <w:pPr>
        <w:pStyle w:val="Compact"/>
        <w:numPr>
          <w:ilvl w:val="1"/>
          <w:numId w:val="1003"/>
        </w:numPr>
      </w:pPr>
      <w:hyperlink w:anchor="X7ce5fdf717f2a4f1ebe063d0e3837802bc71e68">
        <w:r>
          <w:rPr>
            <w:rStyle w:val="Hyperlink"/>
          </w:rPr>
          <w:t xml:space="preserve">2.2 Funcionalidad del producto</w:t>
        </w:r>
      </w:hyperlink>
    </w:p>
    <w:p>
      <w:pPr>
        <w:pStyle w:val="Compact"/>
        <w:numPr>
          <w:ilvl w:val="1"/>
          <w:numId w:val="1003"/>
        </w:numPr>
      </w:pPr>
      <w:hyperlink w:anchor="X0f650175f96f2f005fdb483fd810bfd0c242d4c">
        <w:r>
          <w:rPr>
            <w:rStyle w:val="Hyperlink"/>
          </w:rPr>
          <w:t xml:space="preserve">2.3 Características de los usuarios</w:t>
        </w:r>
      </w:hyperlink>
    </w:p>
    <w:p>
      <w:pPr>
        <w:pStyle w:val="Compact"/>
        <w:numPr>
          <w:ilvl w:val="1"/>
          <w:numId w:val="1003"/>
        </w:numPr>
      </w:pPr>
      <w:hyperlink w:anchor="X11fda6f447d6f2a37cc502977dae18f9e3ad8b3">
        <w:r>
          <w:rPr>
            <w:rStyle w:val="Hyperlink"/>
          </w:rPr>
          <w:t xml:space="preserve">2.4 Restricciones</w:t>
        </w:r>
      </w:hyperlink>
    </w:p>
    <w:p>
      <w:pPr>
        <w:pStyle w:val="Compact"/>
        <w:numPr>
          <w:ilvl w:val="1"/>
          <w:numId w:val="1003"/>
        </w:numPr>
      </w:pPr>
      <w:hyperlink w:anchor="X26d80a1bad7ec0339e80ed2e634398510a6938c">
        <w:r>
          <w:rPr>
            <w:rStyle w:val="Hyperlink"/>
          </w:rPr>
          <w:t xml:space="preserve">2.5 Suposiciones y dependencias</w:t>
        </w:r>
      </w:hyperlink>
    </w:p>
    <w:p>
      <w:pPr>
        <w:pStyle w:val="Compact"/>
        <w:numPr>
          <w:ilvl w:val="1"/>
          <w:numId w:val="1003"/>
        </w:numPr>
      </w:pPr>
      <w:hyperlink w:anchor="Xd7fbd5d42bfd876c2a9ae53c3f6e581111e98a3">
        <w:r>
          <w:rPr>
            <w:rStyle w:val="Hyperlink"/>
          </w:rPr>
          <w:t xml:space="preserve">2.6 Evolución previsible del sistema</w:t>
        </w:r>
      </w:hyperlink>
    </w:p>
    <w:p>
      <w:pPr>
        <w:pStyle w:val="Compact"/>
        <w:numPr>
          <w:ilvl w:val="0"/>
          <w:numId w:val="1001"/>
        </w:numPr>
      </w:pPr>
      <w:hyperlink w:anchor="Xe16cbc17efb9516401e41690962f9175e4cde1d">
        <w:r>
          <w:rPr>
            <w:rStyle w:val="Hyperlink"/>
          </w:rPr>
          <w:t xml:space="preserve">3 Requisitos específicos</w:t>
        </w:r>
      </w:hyperlink>
    </w:p>
    <w:p>
      <w:pPr>
        <w:pStyle w:val="Compact"/>
        <w:numPr>
          <w:ilvl w:val="1"/>
          <w:numId w:val="1004"/>
        </w:numPr>
      </w:pPr>
      <w:hyperlink w:anchor="Xf014da52cda8dccdbce0da4fa32d041195d1547">
        <w:r>
          <w:rPr>
            <w:rStyle w:val="Hyperlink"/>
          </w:rPr>
          <w:t xml:space="preserve">3.1 Requisitos comunes de los interfaces</w:t>
        </w:r>
      </w:hyperlink>
    </w:p>
    <w:p>
      <w:pPr>
        <w:pStyle w:val="Compact"/>
        <w:numPr>
          <w:ilvl w:val="1"/>
          <w:numId w:val="1004"/>
        </w:numPr>
      </w:pPr>
      <w:hyperlink w:anchor="X965d05d004114bc2ee0e90669218ec0da0e554f">
        <w:r>
          <w:rPr>
            <w:rStyle w:val="Hyperlink"/>
          </w:rPr>
          <w:t xml:space="preserve">3.2 Requisitos funcionales</w:t>
        </w:r>
      </w:hyperlink>
    </w:p>
    <w:p>
      <w:pPr>
        <w:pStyle w:val="Compact"/>
        <w:numPr>
          <w:ilvl w:val="1"/>
          <w:numId w:val="1004"/>
        </w:numPr>
      </w:pPr>
      <w:hyperlink w:anchor="X91faa842a79df0e34112c2e349ad0681a2800df">
        <w:r>
          <w:rPr>
            <w:rStyle w:val="Hyperlink"/>
          </w:rPr>
          <w:t xml:space="preserve">3.3 Requisitos no funcionales</w:t>
        </w:r>
      </w:hyperlink>
    </w:p>
    <w:p>
      <w:pPr>
        <w:pStyle w:val="Compact"/>
        <w:numPr>
          <w:ilvl w:val="1"/>
          <w:numId w:val="1004"/>
        </w:numPr>
      </w:pPr>
      <w:hyperlink w:anchor="X0059ab8e8a14f29bb9b8c5e898ea93a4110ded6">
        <w:r>
          <w:rPr>
            <w:rStyle w:val="Hyperlink"/>
          </w:rPr>
          <w:t xml:space="preserve">3.4 Otros requisitos</w:t>
        </w:r>
      </w:hyperlink>
    </w:p>
    <w:p>
      <w:pPr>
        <w:pStyle w:val="Compact"/>
        <w:numPr>
          <w:ilvl w:val="0"/>
          <w:numId w:val="1001"/>
        </w:numPr>
      </w:pPr>
      <w:hyperlink w:anchor="Xd11e23e8f07b8d75afdaee5bf81790e24b12553">
        <w:r>
          <w:rPr>
            <w:rStyle w:val="Hyperlink"/>
          </w:rPr>
          <w:t xml:space="preserve">4 Apéndices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4" w:name="X0e2973c2e3c317285bf344b2034a52754788c6d"/>
    <w:p>
      <w:pPr>
        <w:pStyle w:val="Heading1"/>
      </w:pPr>
      <w:r>
        <w:t xml:space="preserve">1 Introducción</w:t>
      </w:r>
    </w:p>
    <w:bookmarkStart w:id="14" w:name="X53ca1eb396407438b910fbafb578b446b614ca3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El presente documento de</w:t>
      </w:r>
      <w:r>
        <w:t xml:space="preserve"> </w:t>
      </w:r>
      <w:r>
        <w:rPr>
          <w:b/>
          <w:bCs/>
        </w:rPr>
        <w:t xml:space="preserve">Especificación de Requisitos de Software (SRS)</w:t>
      </w:r>
      <w:r>
        <w:t xml:space="preserve"> </w:t>
      </w:r>
      <w:r>
        <w:t xml:space="preserve">tiene como objetivo formalizar y definir de manera no ambigua, completa y verificable todos los requisitos funcionales, no funcionales, interfaces y restricciones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, de conformidad con el estándar internacional</w:t>
      </w:r>
      <w:r>
        <w:t xml:space="preserve"> </w:t>
      </w:r>
      <w:r>
        <w:rPr>
          <w:b/>
          <w:bCs/>
        </w:rPr>
        <w:t xml:space="preserve">IEEE Std 830-1998</w:t>
      </w:r>
      <w:r>
        <w:t xml:space="preserve">.</w:t>
      </w:r>
    </w:p>
    <w:p>
      <w:pPr>
        <w:pStyle w:val="BodyText"/>
      </w:pPr>
      <w:r>
        <w:t xml:space="preserve">Este documento está dirigido a:</w:t>
      </w:r>
    </w:p>
    <w:p>
      <w:pPr>
        <w:pStyle w:val="Compact"/>
        <w:numPr>
          <w:ilvl w:val="0"/>
          <w:numId w:val="1005"/>
        </w:numPr>
      </w:pPr>
      <w:r>
        <w:t xml:space="preserve">Desarrolladores y arquitectos de software encargados del mantenimiento e implementación.</w:t>
      </w:r>
    </w:p>
    <w:p>
      <w:pPr>
        <w:pStyle w:val="Compact"/>
        <w:numPr>
          <w:ilvl w:val="0"/>
          <w:numId w:val="1005"/>
        </w:numPr>
      </w:pPr>
      <w:r>
        <w:t xml:space="preserve">Equipo de Aseguramiento de Calidad (QA) para el diseño y ejecución de matrices de prueba.</w:t>
      </w:r>
    </w:p>
    <w:p>
      <w:pPr>
        <w:pStyle w:val="Compact"/>
        <w:numPr>
          <w:ilvl w:val="0"/>
          <w:numId w:val="1005"/>
        </w:numPr>
      </w:pPr>
      <w:r>
        <w:t xml:space="preserve">Coordinadores académicos, supervisores de seguridad y auditores del SENA Regional Caquetá.</w:t>
      </w:r>
    </w:p>
    <w:bookmarkEnd w:id="14"/>
    <w:bookmarkStart w:id="15" w:name="X807e0e4b2e93a972a9fa0860b3c406e1abe614d"/>
    <w:p>
      <w:pPr>
        <w:pStyle w:val="Heading2"/>
      </w:pPr>
      <w:r>
        <w:t xml:space="preserve">1.2 Alcance</w:t>
      </w:r>
    </w:p>
    <w:p>
      <w:pPr>
        <w:pStyle w:val="FirstParagraph"/>
      </w:pPr>
      <w:r>
        <w:t xml:space="preserve">El software a desarrollar se denomina</w:t>
      </w:r>
      <w:r>
        <w:t xml:space="preserve"> </w:t>
      </w:r>
      <w:r>
        <w:rPr>
          <w:b/>
          <w:bCs/>
        </w:rPr>
        <w:t xml:space="preserve">GEDASC</w:t>
      </w:r>
      <w:r>
        <w:t xml:space="preserve"> </w:t>
      </w:r>
      <w:r>
        <w:t xml:space="preserve">(</w:t>
      </w:r>
      <w:r>
        <w:rPr>
          <w:i/>
          <w:iCs/>
        </w:rPr>
        <w:t xml:space="preserve">Gestión de Entradas y Salidas de Aprendices con Autenticación de Equipos y Doble Firma</w:t>
      </w:r>
      <w:r>
        <w:t xml:space="preserve">).</w:t>
      </w:r>
    </w:p>
    <w:p>
      <w:pPr>
        <w:pStyle w:val="BodyText"/>
      </w:pPr>
      <w:r>
        <w:t xml:space="preserve">El sistema cubre:</w:t>
      </w:r>
    </w:p>
    <w:p>
      <w:pPr>
        <w:pStyle w:val="Compact"/>
        <w:numPr>
          <w:ilvl w:val="0"/>
          <w:numId w:val="1006"/>
        </w:numPr>
      </w:pPr>
      <w:r>
        <w:t xml:space="preserve">El registro y validación en tiempo real del acceso peatonal de los aprendices mediante escaneo óptico de carnés.</w:t>
      </w:r>
    </w:p>
    <w:p>
      <w:pPr>
        <w:pStyle w:val="Compact"/>
        <w:numPr>
          <w:ilvl w:val="0"/>
          <w:numId w:val="1006"/>
        </w:numPr>
      </w:pPr>
      <w:r>
        <w:t xml:space="preserve">La custodia digital con valor probatorio de computadores portátiles y vehículos mediante captura de</w:t>
      </w:r>
      <w:r>
        <w:t xml:space="preserve"> </w:t>
      </w:r>
      <w:r>
        <w:rPr>
          <w:b/>
          <w:bCs/>
        </w:rPr>
        <w:t xml:space="preserve">doble firma digital manuscrita</w:t>
      </w:r>
      <w:r>
        <w:t xml:space="preserve"> </w:t>
      </w:r>
      <w:r>
        <w:t xml:space="preserve">(ingreso y egreso).</w:t>
      </w:r>
    </w:p>
    <w:p>
      <w:pPr>
        <w:pStyle w:val="Compact"/>
        <w:numPr>
          <w:ilvl w:val="0"/>
          <w:numId w:val="1006"/>
        </w:numPr>
      </w:pPr>
      <w:r>
        <w:t xml:space="preserve">La validación curricular con margen de tolerancia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 y clasificación automática de jornadas lectivas.</w:t>
      </w:r>
    </w:p>
    <w:p>
      <w:pPr>
        <w:pStyle w:val="Compact"/>
        <w:numPr>
          <w:ilvl w:val="0"/>
          <w:numId w:val="1006"/>
        </w:numPr>
      </w:pPr>
      <w:r>
        <w:t xml:space="preserve">La gestión de reingresos diarios, visitas extraordinarias y clasificación de sesiones para aprendices monitores.</w:t>
      </w:r>
    </w:p>
    <w:p>
      <w:pPr>
        <w:pStyle w:val="Compact"/>
        <w:numPr>
          <w:ilvl w:val="0"/>
          <w:numId w:val="1006"/>
        </w:numPr>
      </w:pPr>
      <w:r>
        <w:t xml:space="preserve">El monitoreo analítico de aforo y centro de alertas tempranas por inasistencia prolongada (</w:t>
      </w:r>
      <m:oMath>
        <m:r>
          <m:rPr>
            <m:sty m:val="p"/>
          </m:rPr>
          <m:t>≥</m:t>
        </m:r>
        <m:r>
          <m:t>3</m:t>
        </m:r>
        <m:r>
          <m:rPr>
            <m:nor/>
            <m:sty m:val="p"/>
          </m:rPr>
          <m:t> días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La sincronización inalámbrica en tiempo real con terminales validadoras móviles vía WebSockets.</w:t>
      </w:r>
    </w:p>
    <w:bookmarkEnd w:id="15"/>
    <w:bookmarkStart w:id="16" w:name="X3c32702167a50f9f1e47f548e3fd9a17f4efae6"/>
    <w:p>
      <w:pPr>
        <w:pStyle w:val="Heading2"/>
      </w:pPr>
      <w:r>
        <w:t xml:space="preserve">1.3 Personal Involucrado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 Contacto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Jorge Alejandro Peña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 / Arquitecto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arquitectura, validación de reglas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jorge_apena3@soy.sena.edu.co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Desarrolladores Full-Stack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de frontend, backend, APIs y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devs@gedasc.sena.edu.co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Coordinación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/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Académico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normatividad SENA y aprobación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coordinacion_cta@sena.edu.co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de 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campo en portería y validación operativa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vigilancia_cta@sena.edu.co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6"/>
    <w:bookmarkStart w:id="17" w:name="X202ce33122313366988e60811cd45f2e3fac5ed"/>
    <w:p>
      <w:pPr>
        <w:pStyle w:val="Heading2"/>
      </w:pPr>
      <w:r>
        <w:t xml:space="preserve">1.4 Definiciones, Acrónimos y Abreviaturas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</w:t>
      </w:r>
      <w:r>
        <w:t xml:space="preserve">: Centro de Tecnología de la Amazonía (SENA Regional Caquetá).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Ficha</w:t>
      </w:r>
      <w:r>
        <w:t xml:space="preserve">: Identificador numérico oficial de 6 o 7 dígitos asignado a una cohorte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Aprendiz</w:t>
      </w:r>
      <w:r>
        <w:t xml:space="preserve">: Estudiante matriculado en el Servicio Nacional de Aprendizaje (SENA).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Toggle de Salida</w:t>
      </w:r>
      <w:r>
        <w:t xml:space="preserve">: Mecanismo que convierte automáticamente el escaneo de un aprendiz con sesión abierta en un registro de egreso.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Doble Firma</w:t>
      </w:r>
      <w:r>
        <w:t xml:space="preserve">: Registro de una firma digital al entrar un activo y una segunda firma al retirarlo físicamente.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RBAC</w:t>
      </w:r>
      <w:r>
        <w:t xml:space="preserve">:</w:t>
      </w:r>
      <w:r>
        <w:t xml:space="preserve"> </w:t>
      </w:r>
      <w:r>
        <w:rPr>
          <w:i/>
          <w:iCs/>
        </w:rPr>
        <w:t xml:space="preserve">Role-Based Access Control</w:t>
      </w:r>
      <w:r>
        <w:t xml:space="preserve"> </w:t>
      </w:r>
      <w:r>
        <w:t xml:space="preserve">(Control de acceso basado en 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JWT</w:t>
      </w:r>
      <w:r>
        <w:t xml:space="preserve">:</w:t>
      </w:r>
      <w:r>
        <w:t xml:space="preserve"> </w:t>
      </w:r>
      <w:r>
        <w:rPr>
          <w:i/>
          <w:iCs/>
        </w:rPr>
        <w:t xml:space="preserve">JSON Web Token</w:t>
      </w:r>
      <w:r>
        <w:t xml:space="preserve"> </w:t>
      </w:r>
      <w:r>
        <w:t xml:space="preserve">(Estándar de token criptográfico para autenticación stateless).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SRS</w:t>
      </w:r>
      <w:r>
        <w:t xml:space="preserve">:</w:t>
      </w:r>
      <w:r>
        <w:t xml:space="preserve"> </w:t>
      </w:r>
      <w:r>
        <w:rPr>
          <w:i/>
          <w:iCs/>
        </w:rPr>
        <w:t xml:space="preserve">Software Requirements Specification</w:t>
      </w:r>
      <w:r>
        <w:t xml:space="preserve"> </w:t>
      </w:r>
      <w:r>
        <w:t xml:space="preserve">(Especificación de Requisitos de Software).</w:t>
      </w:r>
    </w:p>
    <w:bookmarkEnd w:id="17"/>
    <w:bookmarkStart w:id="22" w:name="X00ae3337cd234d2dcdfae582582fa00fca936d8"/>
    <w:p>
      <w:pPr>
        <w:pStyle w:val="Heading2"/>
      </w:pPr>
      <w:r>
        <w:t xml:space="preserve">1.5 Referencias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IEEE Std 830-1998</w:t>
      </w:r>
      <w:r>
        <w:t xml:space="preserve">:</w:t>
      </w:r>
      <w:r>
        <w:t xml:space="preserve"> </w:t>
      </w:r>
      <w:r>
        <w:rPr>
          <w:i/>
          <w:iCs/>
        </w:rPr>
        <w:t xml:space="preserve">IEEE Recommended Practice for Software Requirements Specifications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Documento Técnico Integral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documentacion/tecnico_integral/documento_tecnico_integral.md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Reglas de Negocio Generales</w:t>
      </w:r>
      <w:r>
        <w:t xml:space="preserve">:</w:t>
      </w:r>
      <w:r>
        <w:t xml:space="preserve"> </w:t>
      </w:r>
      <w:hyperlink r:id="rId19">
        <w:r>
          <w:rPr>
            <w:rStyle w:val="VerbatimChar"/>
          </w:rPr>
          <w:t xml:space="preserve">documentacion/reglas_generales/reglas_negocio_generales.md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Diccionario de Datos Oficial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documentacion/dic/diccionario_datos.md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Técnico del Desarrollador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documentacion/manual_tecnico/manual_tecnico_desarrollador.md</w:t>
        </w:r>
      </w:hyperlink>
      <w:r>
        <w:t xml:space="preserve">.</w:t>
      </w:r>
    </w:p>
    <w:bookmarkEnd w:id="22"/>
    <w:bookmarkStart w:id="23" w:name="X70674525a5257a2758557afeb02f4d7b39768cf"/>
    <w:p>
      <w:pPr>
        <w:pStyle w:val="Heading2"/>
      </w:pPr>
      <w:r>
        <w:t xml:space="preserve">1.6 Resumen</w:t>
      </w:r>
    </w:p>
    <w:p>
      <w:pPr>
        <w:pStyle w:val="FirstParagraph"/>
      </w:pPr>
      <w:r>
        <w:t xml:space="preserve">El resto del documento se estructura 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Sección 2</w:t>
      </w:r>
      <w:r>
        <w:t xml:space="preserve">: Visión general, perspectiva del producto, factores de usuario y restricciones.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Sección 3</w:t>
      </w:r>
      <w:r>
        <w:t xml:space="preserve">: Requisitos específicos de interfaces, catálogo de Requisitos Funcionales (RF) estructurados en fichas normalizadas, y Requisitos No Funcionales (RNF) de rendimiento, seguridad y disponibilidad.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Sección 4</w:t>
      </w:r>
      <w:r>
        <w:t xml:space="preserve">: Apéndices con matrices de trazabilidad y diagramas de soporte.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X272b38cfc2ff6ab53ecdbfe24b7ba0e5f181bd6"/>
    <w:p>
      <w:pPr>
        <w:pStyle w:val="Heading1"/>
      </w:pPr>
      <w:r>
        <w:t xml:space="preserve">2 Descripción General</w:t>
      </w:r>
    </w:p>
    <w:bookmarkStart w:id="28" w:name="X530c4174996bbc2c9398cdddea6478430b49400"/>
    <w:p>
      <w:pPr>
        <w:pStyle w:val="Heading2"/>
      </w:pPr>
      <w:r>
        <w:t xml:space="preserve">2.1 Perspectiva del Producto</w:t>
      </w:r>
    </w:p>
    <w:p>
      <w:pPr>
        <w:pStyle w:val="FirstParagraph"/>
      </w:pPr>
      <w:r>
        <w:t xml:space="preserve">GEDASC es un sistema autónomo e independiente implementado para operar en la red de área local (LAN) del Centro de Tecnología de la Amazonía. Se comunica bidireccionalmente entre estaciones fijas de portería y dispositivos móviles mediante WebSockets.</w:t>
      </w:r>
    </w:p>
    <w:p>
      <w:pPr>
        <w:pStyle w:val="BodyText"/>
      </w:pPr>
      <w:r>
        <w:drawing>
          <wp:inline>
            <wp:extent cx="5334000" cy="64132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5947102161051490162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7ce5fdf717f2a4f1ebe063d0e3837802bc71e68"/>
    <w:p>
      <w:pPr>
        <w:pStyle w:val="Heading2"/>
      </w:pPr>
      <w:r>
        <w:t xml:space="preserve">2.2 Funcionalidad del Producto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 de Acceso Inmediato</w:t>
      </w:r>
      <w:r>
        <w:t xml:space="preserve">: Validación óptica de identidad en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nor/>
            <m:sty m:val="p"/>
          </m:rPr>
          <m:t> segundos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Toggle Automático de Sesión</w:t>
      </w:r>
      <w:r>
        <w:t xml:space="preserve">: Cierre de sesión automático si el aprendiz ya está dentro.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Cadena de Custodia con Doble Firma</w:t>
      </w:r>
      <w:r>
        <w:t xml:space="preserve">: Bloqueo de egreso para portadores de activos sin firma de retiro.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de Horarios</w:t>
      </w:r>
      <w:r>
        <w:t xml:space="preserve">: Tolerancia de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minutos</m:t>
        </m:r>
      </m:oMath>
      <w:r>
        <w:t xml:space="preserve"> </w:t>
      </w:r>
      <w:r>
        <w:t xml:space="preserve">y solicitud de motivos ante excepciones.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Prevención de Deserción</w:t>
      </w:r>
      <w:r>
        <w:t xml:space="preserve">: Alerta temprana ante 3 días continuos de inasistencia lectiva.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Importación Masiva</w:t>
      </w:r>
      <w:r>
        <w:t xml:space="preserve">: Carga de matrículas desde archivos 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Reportes Exportables</w:t>
      </w:r>
      <w:r>
        <w:t xml:space="preserve">: Emisión de documentos oficiales en PDF y Excel con filtros multicriterio.</w:t>
      </w:r>
    </w:p>
    <w:bookmarkEnd w:id="29"/>
    <w:bookmarkStart w:id="30" w:name="X0f650175f96f2f005fdb483fd810bfd0c242d4c"/>
    <w:p>
      <w:pPr>
        <w:pStyle w:val="Heading2"/>
      </w:pPr>
      <w:r>
        <w:t xml:space="preserve">2.3 Características de los Usuarios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Educacional / 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Bachiller / Técnico en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básica de computadores y pantallas táctiles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carnés, solicitud de firmas, verificación física de seriales y consulta histórica.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/ Tecnólogo en Sistemas / Coordinador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software, hojas de cálculo y 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curricular, control de horarios, carga masiva, auditoría, anulación y alertas.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Estudiante Técnico / Tecnólogo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común de dispositivos móviles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 carné físico y suscripción de firma manuscrita digital.</w:t>
            </w:r>
          </w:p>
        </w:tc>
      </w:tr>
    </w:tbl>
    <w:bookmarkEnd w:id="30"/>
    <w:bookmarkStart w:id="31" w:name="X11fda6f447d6f2a37cc502977dae18f9e3ad8b3"/>
    <w:p>
      <w:pPr>
        <w:pStyle w:val="Heading2"/>
      </w:pPr>
      <w:r>
        <w:t xml:space="preserve">2.4 Restricciones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Motor de Base de Datos</w:t>
      </w:r>
      <w:r>
        <w:t xml:space="preserve">: PostgreSQL 16.x o superior obligatorio.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Compatibilidad Web</w:t>
      </w:r>
      <w:r>
        <w:t xml:space="preserve">: La aplicación debe ejecutarse en navegadores compatibles con HTML5 Canvas y WebSockets.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Entorno de Red</w:t>
      </w:r>
      <w:r>
        <w:t xml:space="preserve">: Funcionamiento autónomo en red local LAN sin requerir conexión a internet pública.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Seguridad en Captura</w:t>
      </w:r>
      <w:r>
        <w:t xml:space="preserve">: El validador móvil requiere HTTPS local para habilitar permisos de cámara web.</w:t>
      </w:r>
    </w:p>
    <w:bookmarkEnd w:id="31"/>
    <w:bookmarkStart w:id="32" w:name="X26d80a1bad7ec0339e80ed2e634398510a6938c"/>
    <w:p>
      <w:pPr>
        <w:pStyle w:val="Heading2"/>
      </w:pPr>
      <w:r>
        <w:t xml:space="preserve">2.5 Suposiciones y Dependencias</w:t>
      </w:r>
    </w:p>
    <w:p>
      <w:pPr>
        <w:pStyle w:val="Compact"/>
        <w:numPr>
          <w:ilvl w:val="0"/>
          <w:numId w:val="1012"/>
        </w:numPr>
      </w:pPr>
      <w:r>
        <w:t xml:space="preserve">Se asume que los carnés de los aprendices disponen de códigos de barras legibles bajo estándar Code 128 o EAN.</w:t>
      </w:r>
    </w:p>
    <w:p>
      <w:pPr>
        <w:pStyle w:val="Compact"/>
        <w:numPr>
          <w:ilvl w:val="0"/>
          <w:numId w:val="1012"/>
        </w:numPr>
      </w:pPr>
      <w:r>
        <w:t xml:space="preserve">Se asume disponibilidad continua del suministro eléctrico y red local en el puesto de portería.</w:t>
      </w:r>
    </w:p>
    <w:bookmarkEnd w:id="32"/>
    <w:bookmarkStart w:id="33" w:name="Xd7fbd5d42bfd876c2a9ae53c3f6e581111e98a3"/>
    <w:p>
      <w:pPr>
        <w:pStyle w:val="Heading2"/>
      </w:pPr>
      <w:r>
        <w:t xml:space="preserve">2.6 Evolución Previsible del Sistema</w:t>
      </w:r>
    </w:p>
    <w:p>
      <w:pPr>
        <w:pStyle w:val="Compact"/>
        <w:numPr>
          <w:ilvl w:val="0"/>
          <w:numId w:val="1013"/>
        </w:numPr>
      </w:pPr>
      <w:r>
        <w:t xml:space="preserve">Integración futura con torniquetes y talanqueras físicas mediante microcontroladores (ESP32 / Arduino).</w:t>
      </w:r>
    </w:p>
    <w:p>
      <w:pPr>
        <w:pStyle w:val="Compact"/>
        <w:numPr>
          <w:ilvl w:val="0"/>
          <w:numId w:val="1013"/>
        </w:numPr>
      </w:pPr>
      <w:r>
        <w:t xml:space="preserve">Reconocimiento biométrico facial complementario.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4" w:name="Xe16cbc17efb9516401e41690962f9175e4cde1d"/>
    <w:p>
      <w:pPr>
        <w:pStyle w:val="Heading1"/>
      </w:pPr>
      <w:r>
        <w:t xml:space="preserve">3 Requisitos Específicos</w:t>
      </w:r>
    </w:p>
    <w:bookmarkStart w:id="39" w:name="Xf014da52cda8dccdbce0da4fa32d041195d1547"/>
    <w:p>
      <w:pPr>
        <w:pStyle w:val="Heading2"/>
      </w:pPr>
      <w:r>
        <w:t xml:space="preserve">3.1 Requisitos Comunes de los Interfaces</w:t>
      </w:r>
    </w:p>
    <w:bookmarkStart w:id="35" w:name="Xe367f136d4f0cd433eae29989f5a15f536f19cb"/>
    <w:p>
      <w:pPr>
        <w:pStyle w:val="Heading3"/>
      </w:pPr>
      <w:r>
        <w:t xml:space="preserve">3.1.1 Interfaces de Usuario</w:t>
      </w:r>
    </w:p>
    <w:p>
      <w:pPr>
        <w:pStyle w:val="Compact"/>
        <w:numPr>
          <w:ilvl w:val="0"/>
          <w:numId w:val="1014"/>
        </w:numPr>
      </w:pPr>
      <w:r>
        <w:t xml:space="preserve">Interfaz web responsiva construida con TailwindCSS, adaptada tanto a pantallas de alta resolución (</w:t>
      </w:r>
      <m:oMath>
        <m:r>
          <m:t>1920</m:t>
        </m:r>
        <m:r>
          <m:rPr>
            <m:sty m:val="p"/>
          </m:rPr>
          <m:t>×</m:t>
        </m:r>
        <m:r>
          <m:t>1080</m:t>
        </m:r>
      </m:oMath>
      <w:r>
        <w:t xml:space="preserve">) como a tablets y smartphones (</w:t>
      </w:r>
      <m:oMath>
        <m:r>
          <m:t>360</m:t>
        </m:r>
        <m:r>
          <m:rPr>
            <m:sty m:val="p"/>
          </m:rPr>
          <m:t>×</m:t>
        </m:r>
        <m:r>
          <m:t>640</m:t>
        </m:r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Modal interactivo con Canvas HTML5 para captura de firmas manuscritas con botón de limpieza y guardado.</w:t>
      </w:r>
    </w:p>
    <w:bookmarkEnd w:id="35"/>
    <w:bookmarkStart w:id="36" w:name="Xdddaa05e59aee1893e27c3b288551e6cf544157"/>
    <w:p>
      <w:pPr>
        <w:pStyle w:val="Heading3"/>
      </w:pPr>
      <w:r>
        <w:t xml:space="preserve">3.1.2 Interfaces de Hardware</w:t>
      </w:r>
    </w:p>
    <w:p>
      <w:pPr>
        <w:pStyle w:val="Compact"/>
        <w:numPr>
          <w:ilvl w:val="0"/>
          <w:numId w:val="1015"/>
        </w:numPr>
      </w:pPr>
      <w:r>
        <w:t xml:space="preserve">Soporte para pistolas lectoras de código de barras USB en emulación de teclado (</w:t>
      </w:r>
      <w:r>
        <w:rPr>
          <w:i/>
          <w:iCs/>
        </w:rPr>
        <w:t xml:space="preserve">HID Keyboard Emulation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Soporte para cámaras web integradas y sensores de cámara trasera de teléfonos móviles.</w:t>
      </w:r>
    </w:p>
    <w:bookmarkEnd w:id="36"/>
    <w:bookmarkStart w:id="37" w:name="Xbc3580d6f80be3e9c55dacd2355d5f3603588e7"/>
    <w:p>
      <w:pPr>
        <w:pStyle w:val="Heading3"/>
      </w:pPr>
      <w:r>
        <w:t xml:space="preserve">3.1.3 Interfaces de Software</w:t>
      </w:r>
    </w:p>
    <w:p>
      <w:pPr>
        <w:pStyle w:val="Compact"/>
        <w:numPr>
          <w:ilvl w:val="0"/>
          <w:numId w:val="1016"/>
        </w:numPr>
      </w:pPr>
      <w:r>
        <w:t xml:space="preserve">Motor de base de datos relacional PostgreSQL conectado mediante driver nativo</w:t>
      </w:r>
      <w:r>
        <w:t xml:space="preserve"> </w:t>
      </w:r>
      <w:r>
        <w:rPr>
          <w:rStyle w:val="VerbatimChar"/>
        </w:rPr>
        <w:t xml:space="preserve">pg</w:t>
      </w:r>
      <w:r>
        <w:t xml:space="preserve">.</w:t>
      </w:r>
    </w:p>
    <w:bookmarkEnd w:id="37"/>
    <w:bookmarkStart w:id="38" w:name="X6e16f1fb1db645ac34aebecbe2c32d822e690cf"/>
    <w:p>
      <w:pPr>
        <w:pStyle w:val="Heading3"/>
      </w:pPr>
      <w:r>
        <w:t xml:space="preserve">3.1.4 Interfaces de Comunicación</w:t>
      </w:r>
    </w:p>
    <w:p>
      <w:pPr>
        <w:pStyle w:val="Compact"/>
        <w:numPr>
          <w:ilvl w:val="0"/>
          <w:numId w:val="1017"/>
        </w:numPr>
      </w:pPr>
      <w:r>
        <w:t xml:space="preserve">Protocolo HTTP/1.1 y HTTPS para intercambio de mensajes JSON RESTful.</w:t>
      </w:r>
    </w:p>
    <w:p>
      <w:pPr>
        <w:pStyle w:val="Compact"/>
        <w:numPr>
          <w:ilvl w:val="0"/>
          <w:numId w:val="1017"/>
        </w:numPr>
      </w:pPr>
      <w:r>
        <w:t xml:space="preserve">Protocolo WebSocket seguro (</w:t>
      </w:r>
      <w:r>
        <w:rPr>
          <w:rStyle w:val="VerbatimChar"/>
        </w:rPr>
        <w:t xml:space="preserve">wss://</w:t>
      </w:r>
      <w:r>
        <w:t xml:space="preserve">) mediante Socket.io para comunicación en tiempo real.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X965d05d004114bc2ee0e90669218ec0da0e554f"/>
    <w:p>
      <w:pPr>
        <w:pStyle w:val="Heading2"/>
      </w:pPr>
      <w:r>
        <w:t xml:space="preserve">3.2 Requisitos Funcionales</w:t>
      </w:r>
    </w:p>
    <w:p>
      <w:r>
        <w:pict>
          <v:rect style="width:0;height:1.5pt" o:hralign="center" o:hrstd="t" o:hr="t"/>
        </w:pict>
      </w:r>
    </w:p>
    <w:bookmarkStart w:id="40" w:name="X16f6ef9d539c4c52b6c5d74648b6eaedcb057f2"/>
    <w:p>
      <w:pPr>
        <w:pStyle w:val="Heading3"/>
      </w:pPr>
      <w:r>
        <w:t xml:space="preserve">RF-01: Autenticación y Control de Sesión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 Usuarios y Control de Acceso Basado en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01 (</w:t>
            </w:r>
            <w:r>
              <w:rPr>
                <w:rStyle w:val="VerbatimChar"/>
              </w:rPr>
              <w:t xml:space="preserve">HU-AUTH-001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RN-AUTH-002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autenticar a celadores y administradores mediante correo institucional y contraseña encriptada con Bcrypt, emitiendo un token JWT con vigencia de 24 horas y restringiendo las vistas según el rol asignado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1" w:name="X190832b78605bc97e8b8776bbdeb705eb69c5b2"/>
    <w:p>
      <w:pPr>
        <w:pStyle w:val="Heading3"/>
      </w:pPr>
      <w:r>
        <w:t xml:space="preserve">RF-02: Escaneo Peatonal y Verificación de Horario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y Registro de Ingreso Peatonal con Tolerancia Horaria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 (</w:t>
            </w:r>
            <w:r>
              <w:rPr>
                <w:rStyle w:val="VerbatimChar"/>
              </w:rPr>
              <w:t xml:space="preserve">HU-ING-001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identificar al aprendiz al escanear su código de barras o digitar su documento, verificar que su estado sea activo y constatar si la hora actual se encuentra dentro del rango de clase de su ficha formativa considerando una ventana de tolerancia de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minutos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f-03-toggle-automático-de-salida"/>
    <w:p>
      <w:pPr>
        <w:pStyle w:val="Heading3"/>
      </w:pPr>
      <w:r>
        <w:t xml:space="preserve">RF-03: Toggle Automático de Salida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Automático de Sesión por Re-escaneo (Toggle de Salida)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 y Módulo 03 (</w:t>
            </w:r>
            <w:r>
              <w:rPr>
                <w:rStyle w:val="VerbatimChar"/>
              </w:rPr>
              <w:t xml:space="preserve">HU-ING-003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Si un aprendiz que ya posee un ingreso registrado en el día y cuya salida no ha sido asentada (</w:t>
      </w:r>
      <w:r>
        <w:rPr>
          <w:rStyle w:val="VerbatimChar"/>
        </w:rPr>
        <w:t xml:space="preserve">hora_salida IS NULL</w:t>
      </w:r>
      <w:r>
        <w:t xml:space="preserve">) es escaneado nuevamente en portería, el sistema debe registrar automáticamente su egreso formal sin requerir que el celador cambie manualmente de pantalla.</w:t>
      </w:r>
    </w:p>
    <w:p>
      <w:r>
        <w:pict>
          <v:rect style="width:0;height:1.5pt" o:hralign="center" o:hrstd="t" o:hr="t"/>
        </w:pict>
      </w:r>
    </w:p>
    <w:bookmarkEnd w:id="42"/>
    <w:bookmarkStart w:id="43" w:name="Xadf18faf39dd050ca94c6c3b4a0c2323e1dcb8a"/>
    <w:p>
      <w:pPr>
        <w:pStyle w:val="Heading3"/>
      </w:pPr>
      <w:r>
        <w:t xml:space="preserve">RF-04: Cadena de Custodia con Doble Firma Digital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y Retiro de Activos con Firma Digital Manuscrita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04 (</w:t>
            </w:r>
            <w:r>
              <w:rPr>
                <w:rStyle w:val="VerbatimChar"/>
              </w:rPr>
              <w:t xml:space="preserve">HU-ACT-001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permitir asociar computadores portátiles y vehículos a la sesión de ingreso del aprendiz, capturando obligatoriamente su firma manuscrita digital de entrada (</w:t>
      </w:r>
      <w:r>
        <w:rPr>
          <w:rStyle w:val="VerbatimChar"/>
        </w:rPr>
        <w:t xml:space="preserve">estado_equipo = 'dentro'</w:t>
      </w:r>
      <w:r>
        <w:t xml:space="preserve">). Al registrar el egreso, el sistema debe exigir una segunda firma manuscrita de retiro para cambiar el estado a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496db1be6fa223117ade58c5f518d721deed658"/>
    <w:p>
      <w:pPr>
        <w:pStyle w:val="Heading3"/>
      </w:pPr>
      <w:r>
        <w:t xml:space="preserve">RF-05: Bloqueo de Egreso por Activos Retenidos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Suspensión y Bloqueo de Salida por Activos No Retirados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03 y Módulo 04 (</w:t>
            </w:r>
            <w:r>
              <w:rPr>
                <w:rStyle w:val="VerbatimChar"/>
              </w:rPr>
              <w:t xml:space="preserve">HU-SAL-003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RN-GEN-025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impedir el cierre de la sesión de permanencia y el paso peatonal de cualquier aprendiz que figure con uno o más activos en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, abriendo obligatoriamente el modal de retiro y captura de firma.</w:t>
      </w:r>
    </w:p>
    <w:p>
      <w:r>
        <w:pict>
          <v:rect style="width:0;height:1.5pt" o:hralign="center" o:hrstd="t" o:hr="t"/>
        </w:pict>
      </w:r>
    </w:p>
    <w:bookmarkEnd w:id="44"/>
    <w:bookmarkStart w:id="45" w:name="Xceb7d948e8626b1c335aef92af02b2c8cdb269d"/>
    <w:p>
      <w:pPr>
        <w:pStyle w:val="Heading3"/>
      </w:pPr>
      <w:r>
        <w:t xml:space="preserve">RF-06: Detección Automática de Préstamos y No Concurrencia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de Préstamos y Control de Duplicidad de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04 (</w:t>
            </w:r>
            <w:r>
              <w:rPr>
                <w:rStyle w:val="VerbatimChar"/>
              </w:rPr>
              <w:t xml:space="preserve">HU-ACT-003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/ Deseado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detectar si el serial o placa ingresado pertenece a un titular distinto para marcar la sesión como préstamo, y debe bloquear el registro si el equipo ya figura físicamente dentro de las instalaciones.</w:t>
      </w:r>
    </w:p>
    <w:p>
      <w:r>
        <w:pict>
          <v:rect style="width:0;height:1.5pt" o:hralign="center" o:hrstd="t" o:hr="t"/>
        </w:pict>
      </w:r>
    </w:p>
    <w:bookmarkEnd w:id="45"/>
    <w:bookmarkStart w:id="46" w:name="Xbfca82dd4d1c3c8785f9e314a2a01d685dd356d"/>
    <w:p>
      <w:pPr>
        <w:pStyle w:val="Heading3"/>
      </w:pPr>
      <w:r>
        <w:t xml:space="preserve">RF-07: Captura de Justificaciones Operativas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Obligatoria de Motivos de Reingreso, Visita y Salida Anticipada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02 y Módulo 03 (</w:t>
            </w:r>
            <w:r>
              <w:rPr>
                <w:rStyle w:val="VerbatimChar"/>
              </w:rPr>
              <w:t xml:space="preserve">RN-ING-008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exigir la captura de texto descriptivo justificativo cuando:</w:t>
      </w:r>
    </w:p>
    <w:p>
      <w:pPr>
        <w:pStyle w:val="Compact"/>
        <w:numPr>
          <w:ilvl w:val="0"/>
          <w:numId w:val="1018"/>
        </w:numPr>
      </w:pPr>
      <w:r>
        <w:t xml:space="preserve">El aprendiz reingresa en el mismo día (</w:t>
      </w:r>
      <w:r>
        <w:rPr>
          <w:rStyle w:val="VerbatimChar"/>
        </w:rPr>
        <w:t xml:space="preserve">motivo_reingreso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El aprendiz asiste fuera de su horario lectivo (</w:t>
      </w:r>
      <w:r>
        <w:rPr>
          <w:rStyle w:val="VerbatimChar"/>
        </w:rPr>
        <w:t xml:space="preserve">motivo_visita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El aprendiz abandona el centro antes de la hora final de su clase (</w:t>
      </w:r>
      <w:r>
        <w:rPr>
          <w:rStyle w:val="VerbatimChar"/>
        </w:rPr>
        <w:t xml:space="preserve">motivo_salida_anticipada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X74641e8c1a114f66ab7fc6b5dc43009fee8cc51"/>
    <w:p>
      <w:pPr>
        <w:pStyle w:val="Heading3"/>
      </w:pPr>
      <w:r>
        <w:t xml:space="preserve">RF-08: Sincronización en Tiempo Real del Validador Móvil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y Despacho de Eventos Móviles vía WebSockets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01 (</w:t>
            </w:r>
            <w:r>
              <w:rPr>
                <w:rStyle w:val="VerbatimChar"/>
              </w:rPr>
              <w:t xml:space="preserve">HU-AUTH-004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RN-AUTH-007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/ Deseado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permitir vincular un smartphone mediante código QR/token y transmitir instantáneamente los códigos de barra leídos por la cámara y las firmas capturadas en pantalla táctil hacia el puesto de control principal.</w:t>
      </w:r>
    </w:p>
    <w:p>
      <w:r>
        <w:pict>
          <v:rect style="width:0;height:1.5pt" o:hralign="center" o:hrstd="t" o:hr="t"/>
        </w:pict>
      </w:r>
    </w:p>
    <w:bookmarkEnd w:id="47"/>
    <w:bookmarkStart w:id="48" w:name="X98dd32852d31d4c43215e4d256d16ffa07ce360"/>
    <w:p>
      <w:pPr>
        <w:pStyle w:val="Heading3"/>
      </w:pPr>
      <w:r>
        <w:t xml:space="preserve">RF-09: Centro de Alertas de Ausentismo Prolongado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Automática de Inasistencias Consecutivas (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 Días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06 (</w:t>
            </w:r>
            <w:r>
              <w:rPr>
                <w:rStyle w:val="VerbatimChar"/>
              </w:rPr>
              <w:t xml:space="preserve">HU-ADM-004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RN-ADM-004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calcular y listar en tiempo real a los aprendices matriculados en fichas activas que acumulen 3 o más días continuos sin registrar acceso en sus días lectivos obligatorios.</w:t>
      </w:r>
    </w:p>
    <w:p>
      <w:r>
        <w:pict>
          <v:rect style="width:0;height:1.5pt" o:hralign="center" o:hrstd="t" o:hr="t"/>
        </w:pict>
      </w:r>
    </w:p>
    <w:bookmarkEnd w:id="48"/>
    <w:bookmarkStart w:id="49" w:name="X5d49bead51805cd982616cd2d6f4125655141d4"/>
    <w:p>
      <w:pPr>
        <w:pStyle w:val="Heading3"/>
      </w:pPr>
      <w:r>
        <w:t xml:space="preserve">RF-10: Anulación Justificada de Registros con Doble Confirmación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y Anulación Controlada de Movimientos Erróneos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06 (</w:t>
            </w:r>
            <w:r>
              <w:rPr>
                <w:rStyle w:val="VerbatimChar"/>
              </w:rPr>
              <w:t xml:space="preserve">HU-ADM-002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RN-ADM-002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RN-ADM-003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permitir al administrador anular registros erróneos de entrada o salida, exigiendo redigitar el número de documento exacto del aprendiz y documentar el motivo formal (</w:t>
      </w:r>
      <m:oMath>
        <m:r>
          <m:rPr>
            <m:sty m:val="p"/>
          </m:rPr>
          <m:t>≥</m:t>
        </m:r>
        <m:r>
          <m:t>5</m:t>
        </m:r>
        <m:r>
          <m:rPr>
            <m:nor/>
            <m:sty m:val="p"/>
          </m:rPr>
          <m:t> caracteres</m:t>
        </m:r>
      </m:oMath>
      <w:r>
        <w:t xml:space="preserve">), ejecutando el borrado en cascada atómico.</w:t>
      </w:r>
    </w:p>
    <w:p>
      <w:r>
        <w:pict>
          <v:rect style="width:0;height:1.5pt" o:hralign="center" o:hrstd="t" o:hr="t"/>
        </w:pict>
      </w:r>
    </w:p>
    <w:bookmarkEnd w:id="49"/>
    <w:bookmarkStart w:id="50" w:name="X631dcf43c74d72b9fe1b0a4b866980693ad8961"/>
    <w:p>
      <w:pPr>
        <w:pStyle w:val="Heading3"/>
      </w:pPr>
      <w:r>
        <w:t xml:space="preserve">RF-11: Gestión Curricular y Detección de Cruces de Horario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de Fichas, Horarios y Prevención de Cruces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07 (</w:t>
            </w:r>
            <w:r>
              <w:rPr>
                <w:rStyle w:val="VerbatimChar"/>
              </w:rPr>
              <w:t xml:space="preserve">HU-ACAD-001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RN-ACAD-008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permitir la creación de programas, horarios con inferencia automática de jornada (Mañana, Tarde, Noche) y fichas formativas, impidiendo que un aprendiz sea matriculado en dos fichas con horarios solapados en el mismo día.</w:t>
      </w:r>
    </w:p>
    <w:p>
      <w:r>
        <w:pict>
          <v:rect style="width:0;height:1.5pt" o:hralign="center" o:hrstd="t" o:hr="t"/>
        </w:pict>
      </w:r>
    </w:p>
    <w:bookmarkEnd w:id="50"/>
    <w:bookmarkStart w:id="51" w:name="Xdf1f270061ed34fececf9bde008fd9c363383e8"/>
    <w:p>
      <w:pPr>
        <w:pStyle w:val="Heading3"/>
      </w:pPr>
      <w:r>
        <w:t xml:space="preserve">RF-12: Importación Masiva de Aprendices desde Excel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Masiva de Matrículas desde Archivos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07 (</w:t>
            </w:r>
            <w:r>
              <w:rPr>
                <w:rStyle w:val="VerbatimChar"/>
              </w:rPr>
              <w:t xml:space="preserve">HU-ACAD-006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procesar listas masivas de aprendices desde archivos Excel, registrando a los nuevos, vinculándolos a la ficha seleccionada y emitiendo un reporte final de registros conflictivos sin detener la transacción de los válidos.</w:t>
      </w:r>
    </w:p>
    <w:p>
      <w:r>
        <w:pict>
          <v:rect style="width:0;height:1.5pt" o:hralign="center" o:hrstd="t" o:hr="t"/>
        </w:pict>
      </w:r>
    </w:p>
    <w:bookmarkEnd w:id="51"/>
    <w:bookmarkStart w:id="52" w:name="Xd5f4b63e690b6078a62d510b5e77c67fe6dd3b4"/>
    <w:p>
      <w:pPr>
        <w:pStyle w:val="Heading3"/>
      </w:pPr>
      <w:r>
        <w:t xml:space="preserve">RF-13: Exportación de Reportes Oficiales en PDF y Excel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Número de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de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Informes Oficiales Vectoriales y Tabulares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Fuente del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05 (</w:t>
            </w:r>
            <w:r>
              <w:rPr>
                <w:rStyle w:val="VerbatimChar"/>
              </w:rPr>
              <w:t xml:space="preserve">HU-HIST-004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RN-HIST-003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 / Esencial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Descripción</w:t>
      </w:r>
      <w:r>
        <w:t xml:space="preserve">:</w:t>
      </w:r>
      <w:r>
        <w:br/>
      </w:r>
      <w:r>
        <w:t xml:space="preserve">El sistema debe compilar reportes en formato PDF con membrete institucional del SENA, numeración de página, usuario emisor y totales al pie, así como libros de cálculo 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aplicando los filtros de fecha y ficha seleccionados.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X91faa842a79df0e34112c2e349ad0681a2800df"/>
    <w:p>
      <w:pPr>
        <w:pStyle w:val="Heading2"/>
      </w:pPr>
      <w:r>
        <w:t xml:space="preserve">3.3 Requisitos No Funcionales</w:t>
      </w:r>
    </w:p>
    <w:bookmarkStart w:id="54" w:name="X5a17972a13ed24c82bde5cdd876d7533111c833"/>
    <w:p>
      <w:pPr>
        <w:pStyle w:val="Heading3"/>
      </w:pPr>
      <w:r>
        <w:t xml:space="preserve">3.3.1 Requisitos de Rendimiento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RNF-01 (Tiempo de Respuesta en Portería)</w:t>
      </w:r>
      <w:r>
        <w:t xml:space="preserve">: El 95% de las lecturas y verificaciones de carné deben completarse en un tiempo inferior a</w:t>
      </w:r>
      <w:r>
        <w:t xml:space="preserve"> </w:t>
      </w:r>
      <m:oMath>
        <m:r>
          <m:t>2</m:t>
        </m:r>
        <m:r>
          <m:rPr>
            <m:nor/>
            <m:sty m:val="p"/>
          </m:rPr>
          <m:t> segundos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RNF-02 (Concurrencia)</w:t>
      </w:r>
      <w:r>
        <w:t xml:space="preserve">: El backend debe soportar al menos 50 peticiones simultáneas concurrentes sin degradación de latencia (</w:t>
      </w:r>
      <m:oMath>
        <m:r>
          <m:rPr>
            <m:sty m:val="p"/>
          </m:rPr>
          <m:t>&lt;</m:t>
        </m:r>
        <m:r>
          <m:t>100</m:t>
        </m:r>
        <m:r>
          <m:rPr>
            <m:nor/>
            <m:sty m:val="p"/>
          </m:rPr>
          <m:t> ms</m:t>
        </m:r>
      </m:oMath>
      <w:r>
        <w:t xml:space="preserve">).</w:t>
      </w:r>
    </w:p>
    <w:bookmarkEnd w:id="54"/>
    <w:bookmarkStart w:id="55" w:name="Xdf30c3727a00b8eb253f23ed7a05d74b81b34ca"/>
    <w:p>
      <w:pPr>
        <w:pStyle w:val="Heading3"/>
      </w:pPr>
      <w:r>
        <w:t xml:space="preserve">3.3.2 Seguridad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RNF-03 (Protección Criptográfica)</w:t>
      </w:r>
      <w:r>
        <w:t xml:space="preserve">: Las contraseñas deben almacenarse obligatoriamente hasheadas con algoritmo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(factor de costo 10).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RNF-04 (Protección contra Inyección SQL)</w:t>
      </w:r>
      <w:r>
        <w:t xml:space="preserve">: El 100% de las consultas a la base de datos deben utilizar queries parametrizadas (</w:t>
      </w:r>
      <w:r>
        <w:rPr>
          <w:rStyle w:val="VerbatimChar"/>
        </w:rPr>
        <w:t xml:space="preserve">$1, $2, ...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RNF-05 (Validación Estricta)</w:t>
      </w:r>
      <w:r>
        <w:t xml:space="preserve">: Toda carga útil entrante en la API debe ser validada contra esquemas Zod en la frontera de la aplicación.</w:t>
      </w:r>
    </w:p>
    <w:bookmarkEnd w:id="55"/>
    <w:bookmarkStart w:id="56" w:name="X5adf16b900a1ac109a9c38ccdd02cb0ae3a3058"/>
    <w:p>
      <w:pPr>
        <w:pStyle w:val="Heading3"/>
      </w:pPr>
      <w:r>
        <w:t xml:space="preserve">3.3.3 Fiabilidad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RNF-06 (Transaccionalidad ACID)</w:t>
      </w:r>
      <w:r>
        <w:t xml:space="preserve">: Toda operación compleja (ingreso con activos o anulación) debe ejecutarse bajo transacciones SQL (</w:t>
      </w:r>
      <w:r>
        <w:rPr>
          <w:rStyle w:val="VerbatimChar"/>
        </w:rPr>
        <w:t xml:space="preserve">BEGIN ... COMMIT / ROLLBACK</w:t>
      </w:r>
      <w:r>
        <w:t xml:space="preserve">).</w:t>
      </w:r>
    </w:p>
    <w:bookmarkEnd w:id="56"/>
    <w:bookmarkStart w:id="57" w:name="X4d1f9638074e5eb2339bea1961627fd612510ef"/>
    <w:p>
      <w:pPr>
        <w:pStyle w:val="Heading3"/>
      </w:pPr>
      <w:r>
        <w:t xml:space="preserve">3.3.4 Disponibilidad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RNF-07 (Disponibilidad Operativa)</w:t>
      </w:r>
      <w:r>
        <w:t xml:space="preserve">: El sistema debe garantizar un</w:t>
      </w:r>
      <w:r>
        <w:t xml:space="preserve"> </w:t>
      </w:r>
      <m:oMath>
        <m:r>
          <m:t>99.5</m:t>
        </m:r>
        <m:r>
          <m:rPr>
            <m:sty m:val="p"/>
          </m:rPr>
          <m:t>%</m:t>
        </m:r>
      </m:oMath>
      <w:r>
        <w:t xml:space="preserve"> </w:t>
      </w:r>
      <w:r>
        <w:t xml:space="preserve">de disponibilidad durante las jornadas de formación presencial del centro (06:00 a 22:30 horas, Lunes a Sábado).</w:t>
      </w:r>
    </w:p>
    <w:bookmarkEnd w:id="57"/>
    <w:bookmarkStart w:id="58" w:name="Xc3abb3ac24e534ec1987c27bde51765d5144a14"/>
    <w:p>
      <w:pPr>
        <w:pStyle w:val="Heading3"/>
      </w:pPr>
      <w:r>
        <w:t xml:space="preserve">3.3.5 Mantenibilidad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RNF-08 (Tipado y Arquitectura Modular)</w:t>
      </w:r>
      <w:r>
        <w:t xml:space="preserve">: El monorepo debe mantener tipado estricto en TypeScript en frontend y backend, con arquitectura de controladores y servicios desacoplados.</w:t>
      </w:r>
    </w:p>
    <w:bookmarkEnd w:id="58"/>
    <w:bookmarkStart w:id="59" w:name="X5a7fe4d1f0481b5d3eb73522cae8866519f2131"/>
    <w:p>
      <w:pPr>
        <w:pStyle w:val="Heading3"/>
      </w:pPr>
      <w:r>
        <w:t xml:space="preserve">3.3.6 Portabilidad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RNF-09 (Independencia de Navegador y OS)</w:t>
      </w:r>
      <w:r>
        <w:t xml:space="preserve">: El frontend debe funcionar de manera idéntica en Windows, Linux, macOS, Android e iOS a través de navegadores estándar basados en Chromium, Gecko o WebKit.</w:t>
      </w:r>
    </w:p>
    <w:bookmarkEnd w:id="59"/>
    <w:bookmarkEnd w:id="60"/>
    <w:bookmarkStart w:id="63" w:name="X0059ab8e8a14f29bb9b8c5e898ea93a4110ded6"/>
    <w:p>
      <w:pPr>
        <w:pStyle w:val="Heading2"/>
      </w:pPr>
      <w:r>
        <w:t xml:space="preserve">3.4 Otros Requisitos</w:t>
      </w:r>
    </w:p>
    <w:bookmarkStart w:id="61" w:name="X439624ac80739595b4e02408d2cba04b985018b"/>
    <w:p>
      <w:pPr>
        <w:pStyle w:val="Heading3"/>
      </w:pPr>
      <w:r>
        <w:t xml:space="preserve">3.4.1 Requisitos Legales y de Custodia Probatoria</w:t>
      </w:r>
    </w:p>
    <w:p>
      <w:pPr>
        <w:pStyle w:val="Compact"/>
        <w:numPr>
          <w:ilvl w:val="0"/>
          <w:numId w:val="1025"/>
        </w:numPr>
      </w:pPr>
      <w:r>
        <w:t xml:space="preserve">Las firmas manuscritas digitales almacenadas en Base64 deben conservarse de manera inmutable para responder ante investigaciones internas o requerimientos judiciales de pérdida de bienes.</w:t>
      </w:r>
    </w:p>
    <w:bookmarkEnd w:id="61"/>
    <w:bookmarkStart w:id="62" w:name="Xef64683c3166a9ff8579945f0719d8a1495081f"/>
    <w:p>
      <w:pPr>
        <w:pStyle w:val="Heading3"/>
      </w:pPr>
      <w:r>
        <w:t xml:space="preserve">3.4.2 Habeas Data y Protección de Datos Personales</w:t>
      </w:r>
    </w:p>
    <w:p>
      <w:pPr>
        <w:pStyle w:val="Compact"/>
        <w:numPr>
          <w:ilvl w:val="0"/>
          <w:numId w:val="1026"/>
        </w:numPr>
      </w:pPr>
      <w:r>
        <w:t xml:space="preserve">Los datos de aprendices y registros de asistencia deben tratarse con estricta confidencialidad institucional conforme a la Ley 1581 de 2012 de la República de Colombia.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Xd11e23e8f07b8d75afdaee5bf81790e24b12553"/>
    <w:p>
      <w:pPr>
        <w:pStyle w:val="Heading1"/>
      </w:pPr>
      <w:r>
        <w:t xml:space="preserve">4 Apéndices</w:t>
      </w:r>
    </w:p>
    <w:bookmarkStart w:id="65" w:name="Xdd30b556078055607bbfe7b865390cbd1fe37e6"/>
    <w:p>
      <w:pPr>
        <w:pStyle w:val="Heading3"/>
      </w:pPr>
      <w:r>
        <w:t xml:space="preserve">4.1 Matriz de Trazabilidad de Requisitos (IEEE 830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Reglas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Módulos)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Requisito 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Regla de Negocio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Historia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 del Sistema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RBAC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RN-AUTH-002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HU-AUTH-001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01_autenticacion_acceso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Peatonal y Horario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RN-ING-001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RN-ING-007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HU-ING-001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02_control_ingreso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Automático de Salida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RN-ING-004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HU-ING-003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02_control_ingreso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03_control_salida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Firma Digital de Activos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RN-ACT-005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HU-ACT-001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04_equipos_vehiculos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 por Activos Retenidos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RN-SAL-003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RN-GEN-025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HU-SAL-003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03_control_salida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04_equipos_vehiculos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Préstamos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RN-ACT-003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HU-ACT-003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04_equipos_vehiculos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Justificaciones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RN-ING-008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RN-SAL-005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HU-ING-004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02_control_ingreso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03_control_salida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Validador Móvil en Tiempo Real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RN-AUTH-007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HU-AUTH-004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01_autenticacion_acceso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Ausentismo (3 Días)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RN-ADM-004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HU-ADM-004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06_administracion_monitoreo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Anulación con Doble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RN-ADM-002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RN-ADM-003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HU-ADM-002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06_administracion_monitoreo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Curricular y Horarios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RN-ACAD-001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HU-ACAD-001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07_gestion_academica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Masiva desde Excel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RN-ACAD-009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RN-ACAD-010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HU-ACAD-006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07_gestion_academica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en PDF y Excel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RN-HIST-003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RN-HIST-004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HU-HIST-004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05_historial_reportes</w:t>
            </w:r>
          </w:p>
        </w:tc>
      </w:tr>
    </w:tbl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20" Target="file:///c:/Users/alejo/Downloads/primerProyecto/GEDASC/documentacion/dic/diccionario_datos.md" TargetMode="External" /><Relationship Type="http://schemas.openxmlformats.org/officeDocument/2006/relationships/hyperlink" Id="rId21" Target="file:///c:/Users/alejo/Downloads/primerProyecto/GEDASC/documentacion/manual_tecnico/manual_tecnico_desarrollador.md" TargetMode="External" /><Relationship Type="http://schemas.openxmlformats.org/officeDocument/2006/relationships/hyperlink" Id="rId19" Target="file:///c:/Users/alejo/Downloads/primerProyecto/GEDASC/documentacion/reglas_generales/reglas_negocio_generales.md" TargetMode="External" /><Relationship Type="http://schemas.openxmlformats.org/officeDocument/2006/relationships/hyperlink" Id="rId18" Target="file:///c:/Users/alejo/Downloads/primerProyecto/GEDASC/documentacion/tecnico_integral/documento_tecnico_integr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c:/Users/alejo/Downloads/primerProyecto/GEDASC/documentacion/dic/diccionario_datos.md" TargetMode="External" /><Relationship Type="http://schemas.openxmlformats.org/officeDocument/2006/relationships/hyperlink" Id="rId21" Target="file:///c:/Users/alejo/Downloads/primerProyecto/GEDASC/documentacion/manual_tecnico/manual_tecnico_desarrollador.md" TargetMode="External" /><Relationship Type="http://schemas.openxmlformats.org/officeDocument/2006/relationships/hyperlink" Id="rId19" Target="file:///c:/Users/alejo/Downloads/primerProyecto/GEDASC/documentacion/reglas_generales/reglas_negocio_generales.md" TargetMode="External" /><Relationship Type="http://schemas.openxmlformats.org/officeDocument/2006/relationships/hyperlink" Id="rId18" Target="file:///c:/Users/alejo/Downloads/primerProyecto/GEDASC/documentacion/tecnico_integral/documento_tecnico_integr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2026-08-18T07:01:41Z</dcterms:created>
  <dcterms:modified xsi:type="dcterms:W3CDTF">2026-08-18T07:01:41Z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