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bbb47f43f2cf0451a883a94c9ae90d4fb9f5ad"/>
    <w:p>
      <w:pPr>
        <w:pStyle w:val="Heading1"/>
      </w:pPr>
      <w:r>
        <w:t xml:space="preserve">Reglas de Negocio — Módulo 04: Gestión y Control de Equipos de Cómputo y Vehículos</w:t>
      </w:r>
    </w:p>
    <w:p>
      <w:r>
        <w:pict>
          <v:rect style="width:0;height:1.5pt" o:hralign="center" o:hrstd="t" o:hr="t"/>
        </w:pict>
      </w:r>
    </w:p>
    <w:bookmarkStart w:id="15" w:name="X5bc67aefcbd809525aa53df03bc2d6787acb328"/>
    <w:p>
      <w:pPr>
        <w:pStyle w:val="Heading2"/>
      </w:pPr>
      <w:r>
        <w:t xml:space="preserve">1. Pertenencia y Tipos de Activos</w:t>
      </w:r>
    </w:p>
    <w:bookmarkStart w:id="11" w:name="X64c49751bad91752fccfecc259d95b412c9e708"/>
    <w:p>
      <w:pPr>
        <w:pStyle w:val="Heading3"/>
      </w:pPr>
      <w:r>
        <w:t xml:space="preserve">RN-ACT-001: Distinción entre Equipo Propio y Préstamo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</w:t>
      </w:r>
      <w:r>
        <w:t xml:space="preserve">: Todo activo que ingresa al centro se evalúa contra el historial de titularidad. Si el serial o placa ya está vinculado a un aprendiz distinto al actual portador, el registro se marca obligatoriamente como</w:t>
      </w:r>
      <w:r>
        <w:t xml:space="preserve"> </w:t>
      </w:r>
      <w:r>
        <w:rPr>
          <w:b/>
          <w:bCs/>
        </w:rPr>
        <w:t xml:space="preserve">préstamo</w:t>
      </w:r>
      <w:r>
        <w:t xml:space="preserve"> </w:t>
      </w:r>
      <w:r>
        <w:t xml:space="preserve">y se almacena la relación</w:t>
      </w:r>
      <w:r>
        <w:t xml:space="preserve"> </w:t>
      </w:r>
      <w:r>
        <w:rPr>
          <w:rStyle w:val="VerbatimChar"/>
        </w:rPr>
        <w:t xml:space="preserve">{ id_aprendiz_propietario, id_aprendiz_receptor 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Mantener la trazabilidad de la custodia de los activos institucionales y personales en el centro.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database/src/services/machines/checksBorroweds.ts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4" w:name="X3f103d1faeeb6b5808b3509d093b2036bcc1bda"/>
    <w:p>
      <w:pPr>
        <w:pStyle w:val="Heading3"/>
      </w:pPr>
      <w:r>
        <w:t xml:space="preserve">RN-ACT-002: Jerarquía de Máquina Principal vs Secundaria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El primer computador o vehículo registrado por un aprendiz se establece como su</w:t>
      </w:r>
      <w:r>
        <w:t xml:space="preserve"> </w:t>
      </w:r>
      <w:r>
        <w:rPr>
          <w:b/>
          <w:bCs/>
        </w:rPr>
        <w:t xml:space="preserve">máquina principal</w:t>
      </w:r>
      <w:r>
        <w:t xml:space="preserve">. Si el aprendiz ingresa un equipo adicional en la misma sesión o en sesiones posteriores, este se gestiona mediante la lógica de</w:t>
      </w:r>
      <w:r>
        <w:t xml:space="preserve"> </w:t>
      </w:r>
      <w:r>
        <w:rPr>
          <w:b/>
          <w:bCs/>
        </w:rPr>
        <w:t xml:space="preserve">máquina secundaria / doble máquina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UpdateMachine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Motivo</w:t>
      </w:r>
      <w:r>
        <w:t xml:space="preserve">: Permitir que aprendices técnicos que portan herramientas de desarrollo adicionales (ej. dos portátiles para redes o prácticas) puedan registrarlos sin perder la referencia a su equipo 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database/src/services/machines/checkNonPrincipal.ts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/api/registroIngresos/ingresoDobleMaquina/:id_aprendiz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/api/registroIngresos/maquinaPrincipal/:id_aprendiz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c40c32cc08cefbeaf57fcf5394cac4ab33504fe"/>
    <w:p>
      <w:pPr>
        <w:pStyle w:val="Heading2"/>
      </w:pPr>
      <w:r>
        <w:t xml:space="preserve">2. Concurrencia y Bloqueos</w:t>
      </w:r>
    </w:p>
    <w:bookmarkStart w:id="17" w:name="Xed25fa950768b2b1565f9ffd6321141243374b2"/>
    <w:p>
      <w:pPr>
        <w:pStyle w:val="Heading3"/>
      </w:pPr>
      <w:r>
        <w:t xml:space="preserve">RN-ACT-003: Bloqueo de Máquina Concurrente Activa en el CTA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Un computador o vehículo que tenga un registro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 </w:t>
      </w:r>
      <w:r>
        <w:t xml:space="preserve">no puede ser ingresado nuevamente por ningún aprendiz (ni por su titular ni por un tercero).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</w:t>
      </w:r>
      <w:r>
        <w:t xml:space="preserve">: Evitar inconsistencias físicas donde un mismo activo figure dentro de las instalaciones dos veces simultáneamente.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database/src/services/machines/checkDuplicate.ts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Xe1cf71ad33cd61241c9d0a4acc99cedb71d1fe6"/>
    <w:p>
      <w:pPr>
        <w:pStyle w:val="Heading3"/>
      </w:pPr>
      <w:r>
        <w:t xml:space="preserve">RN-ACT-004: Reutilización de Activo tras Retiro Firmado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Una vez que un equipo ha completado su ciclo y su registro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pasa al estado</w:t>
      </w:r>
      <w:r>
        <w:t xml:space="preserve"> </w:t>
      </w:r>
      <w:r>
        <w:rPr>
          <w:rStyle w:val="VerbatimChar"/>
        </w:rPr>
        <w:t xml:space="preserve">estado_equipo = 'retirado'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firma_salida</w:t>
      </w:r>
      <w:r>
        <w:t xml:space="preserve"> </w:t>
      </w:r>
      <w:r>
        <w:t xml:space="preserve">válida, el serial o placa queda inmediatamente disponible para futuros ingresos en el mismo día o en días posteriores.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</w:t>
      </w:r>
      <w:r>
        <w:t xml:space="preserve">: Permitir la dinámica de aprendices que salen a almorzar con su equipo y reingresan en la jornada de la tarde.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02_control_ingreso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e7d85f7cc4b93bb2a424bbb79ac04b76a988799"/>
    <w:p>
      <w:pPr>
        <w:pStyle w:val="Heading2"/>
      </w:pPr>
      <w:r>
        <w:t xml:space="preserve">3. Doble Firma y Evidencia Digital</w:t>
      </w:r>
    </w:p>
    <w:bookmarkStart w:id="22" w:name="X385011fce9afceaa787d3fefc426c9449ad7bc3"/>
    <w:p>
      <w:pPr>
        <w:pStyle w:val="Heading3"/>
      </w:pPr>
      <w:r>
        <w:t xml:space="preserve">RN-ACT-005: Obligatoriedad de Doble Firma Digital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Todo ingreso de activo requiere capturar la firma digital de entrada (</w:t>
      </w:r>
      <w:r>
        <w:rPr>
          <w:rStyle w:val="VerbatimChar"/>
        </w:rPr>
        <w:t xml:space="preserve">firma_ingreso</w:t>
      </w:r>
      <w:r>
        <w:t xml:space="preserve">), y todo retiro físico del activo requiere capturar la firma digital de salida (</w:t>
      </w:r>
      <w:r>
        <w:rPr>
          <w:rStyle w:val="VerbatimChar"/>
        </w:rPr>
        <w:t xml:space="preserve">firma_salida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</w:t>
      </w:r>
      <w:r>
        <w:t xml:space="preserve">: Proveer valor probatorio y garantía jurídica tanto para el aprendiz (que demuestra que no retiró el equipo antes de tiempo) como para el CTA (que demuestra que el equipo fue entregado físicamente).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21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Xdc17ac7bb81f0b34ec5202257acabe86bb229bb"/>
    <w:p>
      <w:pPr>
        <w:pStyle w:val="Heading3"/>
      </w:pPr>
      <w:r>
        <w:t xml:space="preserve">RN-ACT-006: Persistencia y Formato de Firmas Digitales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</w:t>
      </w:r>
      <w:r>
        <w:t xml:space="preserve">: Las firmas capturadas deben almacenarse en formato Base64 (Data URL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) en la base de datos PostgreSQL, garantizando su integridad visual sin dependencias externas de almacenamiento de archivos.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</w:t>
      </w:r>
      <w:r>
        <w:t xml:space="preserve">: Asegurar portabilidad y disponibilidad inmediata para la generación de reportes y consultas históricas.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3">
        <w:r>
          <w:rPr>
            <w:rStyle w:val="VerbatimChar"/>
          </w:rPr>
          <w:t xml:space="preserve">src/components/Library/SignaturePad.vue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database/src/controllers/entry.controller.ts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/api/registroIngresos/ingresoMaquina/:id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HU-ACT-006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eb98477b9eed0fe5119dfdaf02d60dc17bdd78a"/>
    <w:p>
      <w:pPr>
        <w:pStyle w:val="Heading2"/>
      </w:pPr>
      <w:r>
        <w:t xml:space="preserve">4. Trazabilidad</w:t>
      </w:r>
    </w:p>
    <w:bookmarkStart w:id="28" w:name="X7ff4a3e5df187ce084ae8a2513c6ab2ad0fffb4"/>
    <w:p>
      <w:pPr>
        <w:pStyle w:val="Heading3"/>
      </w:pPr>
      <w:r>
        <w:t xml:space="preserve">RN-ACT-007: Visibilidad de Propietario en Historial de Activos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</w:t>
      </w:r>
      <w:r>
        <w:t xml:space="preserve">: Al consultar el historial de activos, el sistema debe indicar si el registro correspondió a un equipo propio o a un préstamo, permitiendo ver el detalle completo de ambos aprendices (titular y portador).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</w:t>
      </w:r>
      <w:r>
        <w:t xml:space="preserve">: Facilitar investigaciones en caso de incidentes o reportes de pérdidas de activos dentro de las instalaciones.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database/src/controllers/computer.controller.ts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database/src/controllers/vehicle.controller.ts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/api/HistorialComputadores/propietario/:id_detallemaquina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/api/HistorialVehiculos/propietario/:id_detallemaquina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HU-ACT-007</w:t>
      </w:r>
      <w:r>
        <w:t xml:space="preserve">.</w:t>
      </w:r>
    </w:p>
    <w:bookmarkEnd w:id="28"/>
    <w:bookmarkStart w:id="30" w:name="Xdfad4dcc7ba0661027de6c18db06716fe92ab62"/>
    <w:p>
      <w:pPr>
        <w:pStyle w:val="Heading3"/>
      </w:pPr>
      <w:r>
        <w:t xml:space="preserve">RN-ACT-008: Evidencia Dual de Custodia (Firmas de Ingreso y Retiro)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</w:t>
      </w:r>
      <w:r>
        <w:t xml:space="preserve">: Al consultar el detalle de un movimiento de activo en el módulo de gestión de máquinas, el sistema debe proveer obligatoriamente la evidencia gráfica completa del ciclo de custodia:</w:t>
      </w:r>
    </w:p>
    <w:p>
      <w:pPr>
        <w:pStyle w:val="Compact"/>
        <w:numPr>
          <w:ilvl w:val="1"/>
          <w:numId w:val="1009"/>
        </w:numPr>
      </w:pPr>
      <w:r>
        <w:t xml:space="preserve">Firma digital de ingreso y hora de entrada (</w:t>
      </w:r>
      <w:r>
        <w:rPr>
          <w:rStyle w:val="VerbatimChar"/>
        </w:rPr>
        <w:t xml:space="preserve">hora_ingreso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Firma digital de salida/retiro y hora efectiva de retiro (</w:t>
      </w:r>
      <w:r>
        <w:rPr>
          <w:rStyle w:val="VerbatimChar"/>
        </w:rPr>
        <w:t xml:space="preserve">hora_salida</w:t>
      </w:r>
      <w:r>
        <w:t xml:space="preserve">), calculada dinámicamente a partir de la hora de retiro específica del equipo (</w:t>
      </w:r>
      <w:r>
        <w:rPr>
          <w:rStyle w:val="VerbatimChar"/>
        </w:rPr>
        <w:t xml:space="preserve">hora_retiro_equipo</w:t>
      </w:r>
      <w:r>
        <w:t xml:space="preserve">) o la salida general de la sesión (</w:t>
      </w:r>
      <w:r>
        <w:rPr>
          <w:rStyle w:val="VerbatimChar"/>
        </w:rPr>
        <w:t xml:space="preserve">detalles_salida.hora_salida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Si el activo aún no ha sido retirado (</w:t>
      </w:r>
      <w:r>
        <w:rPr>
          <w:rStyle w:val="VerbatimChar"/>
        </w:rPr>
        <w:t xml:space="preserve">estado_equipo = 'dentro'</w:t>
      </w:r>
      <w:r>
        <w:t xml:space="preserve">), el sistema debe indicarlo visualmente sin fallos por firmas nulas.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</w:t>
      </w:r>
      <w:r>
        <w:t xml:space="preserve">: Garantizar el respaldo probatorio institucional ante cualquier reclamo o auditoría de seguridad sobre equipos y vehículos en el CTA.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6">
        <w:r>
          <w:rPr>
            <w:rStyle w:val="VerbatimChar"/>
          </w:rPr>
          <w:t xml:space="preserve">database/src/controllers/computer.controller.ts</w:t>
        </w:r>
      </w:hyperlink>
      <w:r>
        <w:t xml:space="preserve">,</w:t>
      </w:r>
      <w:r>
        <w:t xml:space="preserve"> </w:t>
      </w:r>
      <w:hyperlink r:id="rId27">
        <w:r>
          <w:rPr>
            <w:rStyle w:val="VerbatimChar"/>
          </w:rPr>
          <w:t xml:space="preserve">database/src/controllers/vehicle.controller.ts</w:t>
        </w:r>
      </w:hyperlink>
      <w:r>
        <w:t xml:space="preserve">,</w:t>
      </w:r>
      <w:r>
        <w:t xml:space="preserve"> </w:t>
      </w:r>
      <w:hyperlink r:id="rId29">
        <w:r>
          <w:rPr>
            <w:rStyle w:val="VerbatimChar"/>
          </w:rPr>
          <w:t xml:space="preserve">src/components/AprendizUI/Modals/ModalAssetOwnerDetails.vue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/api/HistorialComputadores/propietario/:id_detallemaquina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/api/HistorialVehiculos/propietario/:id_detallemaquina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HU-ACT-007</w:t>
      </w:r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file:///c:/Users/alejo/Downloads/primerProyecto/GEDASC/database/src/controllers/computer.controller.ts" TargetMode="External" /><Relationship Type="http://schemas.openxmlformats.org/officeDocument/2006/relationships/hyperlink" Id="rId10" Target="file:///c:/Users/alejo/Downloads/primerProyecto/GEDASC/database/src/controllers/entry.controller.ts" TargetMode="External" /><Relationship Type="http://schemas.openxmlformats.org/officeDocument/2006/relationships/hyperlink" Id="rId12" Target="file:///c:/Users/alejo/Downloads/primerProyecto/GEDASC/database/src/controllers/entry.controller.ts#L18-L23" TargetMode="External" /><Relationship Type="http://schemas.openxmlformats.org/officeDocument/2006/relationships/hyperlink" Id="rId21" Target="file:///c:/Users/alejo/Downloads/primerProyecto/GEDASC/database/src/controllers/exit.controller.ts" TargetMode="External" /><Relationship Type="http://schemas.openxmlformats.org/officeDocument/2006/relationships/hyperlink" Id="rId18" Target="file:///c:/Users/alejo/Downloads/primerProyecto/GEDASC/database/src/controllers/exit.controller.ts#L320-L360" TargetMode="External" /><Relationship Type="http://schemas.openxmlformats.org/officeDocument/2006/relationships/hyperlink" Id="rId27" Target="file:///c:/Users/alejo/Downloads/primerProyecto/GEDASC/database/src/controllers/vehicle.controller.ts" TargetMode="External" /><Relationship Type="http://schemas.openxmlformats.org/officeDocument/2006/relationships/hyperlink" Id="rId16" Target="file:///c:/Users/alejo/Downloads/primerProyecto/GEDASC/database/src/services/machines/checkDuplicate.ts" TargetMode="External" /><Relationship Type="http://schemas.openxmlformats.org/officeDocument/2006/relationships/hyperlink" Id="rId13" Target="file:///c:/Users/alejo/Downloads/primerProyecto/GEDASC/database/src/services/machines/checkNonPrincipal.ts" TargetMode="External" /><Relationship Type="http://schemas.openxmlformats.org/officeDocument/2006/relationships/hyperlink" Id="rId9" Target="file:///c:/Users/alejo/Downloads/primerProyecto/GEDASC/database/src/services/machines/checksBorroweds.ts" TargetMode="External" /><Relationship Type="http://schemas.openxmlformats.org/officeDocument/2006/relationships/hyperlink" Id="rId29" Target="file:///c:/Users/alejo/Downloads/primerProyecto/GEDASC/src/components/AprendizUI/Modals/ModalAssetOwnerDetails.vue" TargetMode="External" /><Relationship Type="http://schemas.openxmlformats.org/officeDocument/2006/relationships/hyperlink" Id="rId23" Target="file:///c:/Users/alejo/Downloads/primerProyecto/GEDASC/src/components/Library/SignaturePa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file:///c:/Users/alejo/Downloads/primerProyecto/GEDASC/database/src/controllers/computer.controller.ts" TargetMode="External" /><Relationship Type="http://schemas.openxmlformats.org/officeDocument/2006/relationships/hyperlink" Id="rId10" Target="file:///c:/Users/alejo/Downloads/primerProyecto/GEDASC/database/src/controllers/entry.controller.ts" TargetMode="External" /><Relationship Type="http://schemas.openxmlformats.org/officeDocument/2006/relationships/hyperlink" Id="rId12" Target="file:///c:/Users/alejo/Downloads/primerProyecto/GEDASC/database/src/controllers/entry.controller.ts#L18-L23" TargetMode="External" /><Relationship Type="http://schemas.openxmlformats.org/officeDocument/2006/relationships/hyperlink" Id="rId21" Target="file:///c:/Users/alejo/Downloads/primerProyecto/GEDASC/database/src/controllers/exit.controller.ts" TargetMode="External" /><Relationship Type="http://schemas.openxmlformats.org/officeDocument/2006/relationships/hyperlink" Id="rId18" Target="file:///c:/Users/alejo/Downloads/primerProyecto/GEDASC/database/src/controllers/exit.controller.ts#L320-L360" TargetMode="External" /><Relationship Type="http://schemas.openxmlformats.org/officeDocument/2006/relationships/hyperlink" Id="rId27" Target="file:///c:/Users/alejo/Downloads/primerProyecto/GEDASC/database/src/controllers/vehicle.controller.ts" TargetMode="External" /><Relationship Type="http://schemas.openxmlformats.org/officeDocument/2006/relationships/hyperlink" Id="rId16" Target="file:///c:/Users/alejo/Downloads/primerProyecto/GEDASC/database/src/services/machines/checkDuplicate.ts" TargetMode="External" /><Relationship Type="http://schemas.openxmlformats.org/officeDocument/2006/relationships/hyperlink" Id="rId13" Target="file:///c:/Users/alejo/Downloads/primerProyecto/GEDASC/database/src/services/machines/checkNonPrincipal.ts" TargetMode="External" /><Relationship Type="http://schemas.openxmlformats.org/officeDocument/2006/relationships/hyperlink" Id="rId9" Target="file:///c:/Users/alejo/Downloads/primerProyecto/GEDASC/database/src/services/machines/checksBorroweds.ts" TargetMode="External" /><Relationship Type="http://schemas.openxmlformats.org/officeDocument/2006/relationships/hyperlink" Id="rId29" Target="file:///c:/Users/alejo/Downloads/primerProyecto/GEDASC/src/components/AprendizUI/Modals/ModalAssetOwnerDetails.vue" TargetMode="External" /><Relationship Type="http://schemas.openxmlformats.org/officeDocument/2006/relationships/hyperlink" Id="rId23" Target="file:///c:/Users/alejo/Downloads/primerProyecto/GEDASC/src/components/Library/SignaturePa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2026-08-18T07:02:48Z</dcterms:created>
  <dcterms:modified xsi:type="dcterms:W3CDTF">2026-08-18T07:02:48Z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