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162FA" w14:textId="77777777" w:rsidR="0017535D" w:rsidRDefault="00000000">
      <w:pPr>
        <w:jc w:val="center"/>
      </w:pPr>
      <w:proofErr w:type="spellStart"/>
      <w:r>
        <w:rPr>
          <w:b/>
        </w:rPr>
        <w:t>pyCAFE</w:t>
      </w:r>
      <w:proofErr w:type="spellEnd"/>
      <w:r>
        <w:rPr>
          <w:b/>
        </w:rPr>
        <w:t>: A Finite Element Framework for Solving Acoustic Problems in Python</w:t>
      </w:r>
      <w:r>
        <w:rPr>
          <w:b/>
        </w:rPr>
        <w:br/>
      </w:r>
      <w:r>
        <w:t>Journal of Open Research Software</w:t>
      </w:r>
      <w:r>
        <w:br/>
        <w:t>Daniele Fabbri, Fabio Bruzzone, Carlo Rosso</w:t>
      </w:r>
      <w:r>
        <w:br/>
        <w:t>Revised manuscript submitted: April 2026</w:t>
      </w:r>
    </w:p>
    <w:p w14:paraId="68BF046F" w14:textId="2BD7D657" w:rsidR="0017535D" w:rsidRDefault="0017535D"/>
    <w:p w14:paraId="0319FAA8" w14:textId="77777777" w:rsidR="0017535D" w:rsidRDefault="00000000">
      <w:pPr>
        <w:pStyle w:val="Titolo1"/>
      </w:pPr>
      <w:r>
        <w:rPr>
          <w:color w:val="1F497D"/>
        </w:rPr>
        <w:t>General Statement</w:t>
      </w:r>
    </w:p>
    <w:p w14:paraId="16B1BAD4" w14:textId="77777777" w:rsidR="0017535D" w:rsidRDefault="00000000">
      <w:r>
        <w:t>We thank the Editor-in-Chief and all seven reviewers for their thorough and constructive evaluations. The feedback has led to substantial improvements in the manuscript and in the software itself. Below we address every point raised, grouped by reviewer. Changes to the manuscript are indicated with section references; changes to the software repository are indicated with file names.</w:t>
      </w:r>
    </w:p>
    <w:p w14:paraId="3B59088C" w14:textId="77777777" w:rsidR="0017535D" w:rsidRDefault="0017535D"/>
    <w:p w14:paraId="52206CF8" w14:textId="77777777" w:rsidR="00E21F01" w:rsidRDefault="00000000" w:rsidP="00E21F01">
      <w:pPr>
        <w:pStyle w:val="Titolo1"/>
        <w:rPr>
          <w:color w:val="1F497D"/>
        </w:rPr>
      </w:pPr>
      <w:r>
        <w:rPr>
          <w:color w:val="1F497D"/>
        </w:rPr>
        <w:t>Reviewer 1</w:t>
      </w:r>
    </w:p>
    <w:p w14:paraId="0E2CE039" w14:textId="5AF3B2D5" w:rsidR="0017535D" w:rsidRPr="00E21F01" w:rsidRDefault="00000000" w:rsidP="00E21F01">
      <w:pPr>
        <w:pStyle w:val="Titolo1"/>
        <w:rPr>
          <w:rFonts w:ascii="Calibri" w:hAnsi="Calibri" w:cs="Calibri"/>
          <w:b w:val="0"/>
          <w:bCs w:val="0"/>
          <w:color w:val="000000" w:themeColor="text1"/>
        </w:rPr>
      </w:pPr>
      <w:r w:rsidRPr="00E21F01">
        <w:rPr>
          <w:rFonts w:ascii="Calibri" w:hAnsi="Calibri" w:cs="Calibri"/>
          <w:b w:val="0"/>
          <w:bCs w:val="0"/>
          <w:color w:val="000000" w:themeColor="text1"/>
          <w:sz w:val="22"/>
        </w:rPr>
        <w:t xml:space="preserve"> The abstract has been revised. The last two sentences have been replaced with a technical summary that explicitly states: the element types (CQUAD4, CQUAD8), the supported boundary conditions (prescribed pressure, normal velocity, impedance, rigid), the solver types (direct frequency-domain and modal), the validation approach (analytical eigenfrequencies below 0.001 % error for CQUAD8), and the CI pipeline (GitHub Actions, Python 3.10–3.12). No promotional language remains.</w:t>
      </w:r>
    </w:p>
    <w:p w14:paraId="43987E27" w14:textId="77777777" w:rsidR="00E21F01" w:rsidRDefault="00E21F01" w:rsidP="00E21F01"/>
    <w:p w14:paraId="79D4F3A4" w14:textId="0371E630" w:rsidR="0017535D" w:rsidRDefault="00000000" w:rsidP="00E21F01">
      <w:r>
        <w:t>Nine keywords are now provided: Acoustics; Finite Element Method; Python; Helmholtz equation; frequency domain; modal analysis; computational acoustics; open source. These cover both domain-specific and general software terms.</w:t>
      </w:r>
    </w:p>
    <w:p w14:paraId="49DAD9BF" w14:textId="6A314A14" w:rsidR="0017535D" w:rsidRDefault="00000000">
      <w:r>
        <w:t xml:space="preserve">A dedicated paragraph has been added to the Introduction comparing </w:t>
      </w:r>
      <w:proofErr w:type="spellStart"/>
      <w:r>
        <w:t>pyCAFE</w:t>
      </w:r>
      <w:proofErr w:type="spellEnd"/>
      <w:r>
        <w:t xml:space="preserve"> with </w:t>
      </w:r>
      <w:r w:rsidR="00715474">
        <w:t xml:space="preserve">the most </w:t>
      </w:r>
      <w:r w:rsidR="00290480">
        <w:t>famous</w:t>
      </w:r>
      <w:r>
        <w:t xml:space="preserve"> open-source tools</w:t>
      </w:r>
      <w:r w:rsidR="00290480">
        <w:t>:F</w:t>
      </w:r>
      <w:r>
        <w:t>EniCSx</w:t>
      </w:r>
      <w:r w:rsidR="00E21F01">
        <w:t xml:space="preserve">. </w:t>
      </w:r>
      <w:proofErr w:type="spellStart"/>
      <w:r>
        <w:t>The</w:t>
      </w:r>
      <w:proofErr w:type="spellEnd"/>
      <w:r>
        <w:t xml:space="preserve"> paragraph explains that these frameworks differ from pyCAFE in scope and design philosophy: they adopt symbolic variational or scripting-based approaches and do not expose assembled system matrices directly. pyCAFE's distinguishing </w:t>
      </w:r>
      <w:proofErr w:type="gramStart"/>
      <w:r>
        <w:t>features</w:t>
      </w:r>
      <w:r w:rsidR="00E21F01">
        <w:t>,</w:t>
      </w:r>
      <w:r>
        <w:t xml:space="preserve">  matrix</w:t>
      </w:r>
      <w:proofErr w:type="gramEnd"/>
      <w:r>
        <w:t xml:space="preserve">-explicit assembly, educational transparency, and </w:t>
      </w:r>
      <w:proofErr w:type="spellStart"/>
      <w:r>
        <w:t>Gmsh</w:t>
      </w:r>
      <w:proofErr w:type="spellEnd"/>
      <w:r>
        <w:t>-based workflow</w:t>
      </w:r>
      <w:r w:rsidR="00E21F01">
        <w:t xml:space="preserve">, </w:t>
      </w:r>
      <w:r>
        <w:t>are highlighted with citations.</w:t>
      </w:r>
    </w:p>
    <w:p w14:paraId="004D653B" w14:textId="0E854C7A" w:rsidR="0017535D" w:rsidRDefault="00000000" w:rsidP="00E21F01">
      <w:r>
        <w:t xml:space="preserve">The Quality Control section has been substantially expanded. It now includes: (1) a four-module automated test suite (test_element_matrices.py, test_boundary_conditions.py, test_solver_modal.py, test_solver_helmholtz.py) with explicit descriptions of each test; (2) a GitHub Actions CI pipeline (.github/workflows/ci.yml) that runs pytest on Python 3.10, 3.11, and </w:t>
      </w:r>
      <w:r>
        <w:lastRenderedPageBreak/>
        <w:t>3.12 on every push and pull request; (3) an analytical validation table for the first six eigenfrequencies of a 1 m × 0.5 m rigid cavity (CQUAD4 and CQUAD8 errors reported in %); (4) h- and p-convergence studies with measured slopes (CQUAD4 ≈ 2, CQUAD8 ≈ 4); (5) cross-validation against FEniCSx Q2 for both modal (20 modes, &lt; 0.0001 % error) and direct Helmholtz solvers (4 BC configurations, median errors &lt; 0.07 % for all cases).</w:t>
      </w:r>
    </w:p>
    <w:p w14:paraId="5F2A92F2" w14:textId="77777777" w:rsidR="0017535D" w:rsidRDefault="0017535D"/>
    <w:p w14:paraId="1A7BD9A1" w14:textId="62BC5722" w:rsidR="0017535D" w:rsidRDefault="00000000">
      <w:r>
        <w:t xml:space="preserve">The Reuse Potential section has been expanded from a single paragraph into four subsections: </w:t>
      </w:r>
      <w:proofErr w:type="gramStart"/>
      <w:r>
        <w:t>Educational</w:t>
      </w:r>
      <w:proofErr w:type="gramEnd"/>
      <w:r>
        <w:t xml:space="preserve"> use, Benchmarking and cross-validation, Research simulation, and Future work. Each subsection provides concrete scenarios with explicit notebook references. Installation via pip (pip install pycafe) is mentioned in the text. A step-by-step guided notebook (examples/analisi_modale_guidata.ipynb) is cited for new users. Sample meshes and example scripts are provided in the examples/ directory of the repository.</w:t>
      </w:r>
    </w:p>
    <w:p w14:paraId="1C58B94C" w14:textId="77777777" w:rsidR="0017535D" w:rsidRDefault="00000000">
      <w:pPr>
        <w:pStyle w:val="Titolo1"/>
      </w:pPr>
      <w:r>
        <w:rPr>
          <w:color w:val="1F497D"/>
        </w:rPr>
        <w:t>Reviewer 2</w:t>
      </w:r>
    </w:p>
    <w:p w14:paraId="66B9A1FB" w14:textId="77777777" w:rsidR="00E21F01" w:rsidRDefault="00E21F01" w:rsidP="00E21F01">
      <w:r>
        <w:t xml:space="preserve"> </w:t>
      </w:r>
    </w:p>
    <w:p w14:paraId="6D2B2633" w14:textId="22E5D8C4" w:rsidR="0017535D" w:rsidRDefault="00000000" w:rsidP="00E21F01">
      <w:r>
        <w:t>The Reuse Potential section now includes an explicit getting-started pathway: (1) pip install pycafe; (2) run examples/analisi_modale_guidata.ipynb as a step-by-step guided tutorial. The notebook includes explanatory text between each code cell, walks through fluid selection, mesh loading, boundary condition assignment, eigenfrequency computation, and mode-shape visualisation, and compares the output against the analytical solution.</w:t>
      </w:r>
    </w:p>
    <w:p w14:paraId="6DFF52C3" w14:textId="77777777" w:rsidR="00E21F01" w:rsidRDefault="00000000" w:rsidP="00E21F01">
      <w:r>
        <w:t>The typical workflow (mesh → boundaries → assembly → solver → post-processing) is described step by step in Section Implementation and Architecture, supported by Figure 1 (architecture diagram). Example mesh files (rectangle_CQUAD8.msh), input scripts, and graphical output figures are included in the examples/ directory. The guided tutorial notebook provides expected cell-by-cell outputs.</w:t>
      </w:r>
    </w:p>
    <w:p w14:paraId="755D7D0C" w14:textId="7716F6FA" w:rsidR="0017535D" w:rsidRDefault="00000000">
      <w:r>
        <w:t>The Quality Control section now explains the rationale for test case selection: the rectangular cavity is the canonical benchmark for 2D acoustic FEM because it admits a closed-form analytical solution. Additional cases now include a frequency sweep with four distinct boundary condition configurations (piston/rigid, prescribed pressure/rigid, piston/pressure-release, piston/anechoic) validated against both 1D analytical solutions and FEniCSx Q2. Planned future benchmarks (non-rectangular domains, thin labs) are noted in the Future Work subsection.</w:t>
      </w:r>
    </w:p>
    <w:p w14:paraId="1E933856" w14:textId="77777777" w:rsidR="0017535D" w:rsidRDefault="00000000">
      <w:pPr>
        <w:pStyle w:val="Titolo1"/>
      </w:pPr>
      <w:r>
        <w:rPr>
          <w:color w:val="1F497D"/>
        </w:rPr>
        <w:t>Reviewer 3</w:t>
      </w:r>
    </w:p>
    <w:p w14:paraId="35A1F6DB" w14:textId="34D233FC" w:rsidR="0017535D" w:rsidRDefault="00000000">
      <w:r>
        <w:t xml:space="preserve">All four items have been addressed. (1) Analytical benchmark: a table reports eigenfrequency errors for both element types on the 1 m × 0.5 m rigid cavity. (2) Convergence study: examples/convergence_hp.ipynb measures h-convergence (Nx = 2…64) and p-convergence (CQUAD4 vs CQUAD8) with log-log regression in the asymptotic regime, confirming slopes ≈ 2 </w:t>
      </w:r>
      <w:r>
        <w:lastRenderedPageBreak/>
        <w:t>and ≈ 4 respectively. (3) Frequency sweep validation: four BC configurations at 50–800 Hz compared to 1D analytical solutions and FEniCSx Q2. All results are presented in the Quality Control section with figures.</w:t>
      </w:r>
    </w:p>
    <w:p w14:paraId="724E2A81" w14:textId="7F2118EB" w:rsidR="0017535D" w:rsidRDefault="00000000" w:rsidP="00E21F01">
      <w:r>
        <w:t>A four-module test suite has been implemented and is described in the revised Quality Control section. test_element_matrices.py covers symmetry, K·1 = 0, mass conservation, partition of unity, and Kronecker-delta interpolation. test_boundary_conditions.py covers Dirichlet elimination, idx_free mapping, and matrix symmetry preservation. test_solver_modal.py validates eigenfrequencies against analytical values with mesh-dependent tolerances and checks M-orthogonality. test_solver_helmholtz.py verifies the direct solver on a reference pressure distribution. The GitHub Actions workflow (.github/workflows/ci.yml) runs all tests on Python 3.10, 3.11, and 3.12 on every push and pull request.</w:t>
      </w:r>
    </w:p>
    <w:p w14:paraId="29FD5C5D" w14:textId="5F403A61" w:rsidR="0017535D" w:rsidRDefault="00000000" w:rsidP="00E21F01">
      <w:r>
        <w:t>A performance comparison is now reported in the Quality Control section. For a 151-point frequency sweep (50–800 Hz) on the 1 m × 0.5 m cavity: pyCAFE CQUAD8 (6,337 DOF) requires approximately 9 s; FEniCSx Q2 (8,385 DOF) requires approximately 8 s on the same hardware. Both use scipy sparse direct solvers. Runtime data come directly from the cross-validation script (examples/test_direct_helmholtz_pycafe_fenics.py). A DOF-vs-runtime scaling study from the convergence notebook is also referenced.</w:t>
      </w:r>
    </w:p>
    <w:p w14:paraId="6790AEC6" w14:textId="77777777" w:rsidR="00E21F01" w:rsidRDefault="00000000" w:rsidP="00E21F01">
      <w:r>
        <w:t xml:space="preserve">A Future Work subsection has been added to the Reuse Potential section explicitly </w:t>
      </w:r>
      <w:proofErr w:type="gramStart"/>
      <w:r>
        <w:t>listing:</w:t>
      </w:r>
      <w:proofErr w:type="gramEnd"/>
      <w:r>
        <w:t xml:space="preserve"> 3D hexahedral element extension, time-domain transient solver, perfectly matched layers (PML) for open-domain radiation, vibroacoustic coupling, and higher-order p-refinement. The 2D limitation is stated explicitly in the Abstract, Implementation section, and Reuse Potential section.</w:t>
      </w:r>
    </w:p>
    <w:p w14:paraId="1A47A9D7" w14:textId="348DD180" w:rsidR="0017535D" w:rsidRDefault="00000000">
      <w:r>
        <w:t xml:space="preserve">The Introduction now contains a dedicated paragraph positioning pyCAFE relative to FEniCSx (does not expose assembled matrices; requires variational form language), FreeFEM (not Python-native), scikit-fem (general elliptic PDE, no acoustic-specific operators), and openCFS (requires dedicated pipeline). The paragraph explicitly states that pyCAFE's matrix-explicit workflow mirrors commercial FEM practice, enabling direct inspection of K, M, and C operators. Relative to the MATLAB CAFE predecessor, the Python port adds interoperability with NumPy/SciPy/Matplotlib, automated testing, CI, and </w:t>
      </w:r>
      <w:proofErr w:type="spellStart"/>
      <w:r>
        <w:t>ReadTheDocs</w:t>
      </w:r>
      <w:proofErr w:type="spellEnd"/>
      <w:r>
        <w:t xml:space="preserve"> documentation.</w:t>
      </w:r>
    </w:p>
    <w:p w14:paraId="4A4B5EF8" w14:textId="77777777" w:rsidR="0017535D" w:rsidRDefault="00000000">
      <w:pPr>
        <w:pStyle w:val="Titolo1"/>
      </w:pPr>
      <w:r>
        <w:rPr>
          <w:color w:val="1F497D"/>
        </w:rPr>
        <w:t>Reviewer 4</w:t>
      </w:r>
    </w:p>
    <w:p w14:paraId="48871CF8" w14:textId="77777777" w:rsidR="0017535D" w:rsidRDefault="00000000">
      <w:r>
        <w:t>Reviewer 4 raises a series of concerns regarding methodological novelty, convergence testing, Dirichlet BC justification, PML absence, velocity BC verification, and open-source comparisons. We address each point below.</w:t>
      </w:r>
    </w:p>
    <w:p w14:paraId="48EDAB01" w14:textId="77777777" w:rsidR="00E21F01" w:rsidRDefault="00000000" w:rsidP="00E21F01">
      <w:proofErr w:type="spellStart"/>
      <w:r>
        <w:t>pyCAFE</w:t>
      </w:r>
      <w:proofErr w:type="spellEnd"/>
      <w:r>
        <w:t xml:space="preserve"> is submitted to JORS as a research software paper, not a methods paper. JORS explicitly invites papers describing open-source software tools used for research, regardless of whether the underlying numerical methods are novel. The contribution of pyCAFE is the transparent, accessible, and validated Python implementation of established FEM formulations for 2D </w:t>
      </w:r>
      <w:proofErr w:type="gramStart"/>
      <w:r>
        <w:lastRenderedPageBreak/>
        <w:t>acoustic</w:t>
      </w:r>
      <w:r w:rsidR="00E21F01">
        <w:t xml:space="preserve">, </w:t>
      </w:r>
      <w:r>
        <w:t xml:space="preserve"> a</w:t>
      </w:r>
      <w:proofErr w:type="gramEnd"/>
      <w:r>
        <w:t xml:space="preserve"> tool that did not previously exist as open-source Python software with this design philosophy. This is consistent with the JORS scope.</w:t>
      </w:r>
    </w:p>
    <w:p w14:paraId="35FB7B78" w14:textId="60C63215" w:rsidR="0017535D" w:rsidRDefault="00000000" w:rsidP="00E21F01">
      <w:r>
        <w:t>An h-convergence study has been added (examples/convergence_hp.ipynb). Mesh refinement levels Nx = 2, 4, 8, 16, 32, 64 are tested; eigenfrequency errors are plotted on a log-log scale and slopes are measured by log-log regression in the asymptotic regime. Measured slopes: CQUAD4 ≈ 2, CQUAD8 ≈ 4, consistent with standard FEM approximation theory for smooth solutions. This is now described in the Quality Control section.</w:t>
      </w:r>
    </w:p>
    <w:p w14:paraId="55F7A864" w14:textId="3F75B523" w:rsidR="0017535D" w:rsidRDefault="00000000" w:rsidP="00E21F01">
      <w:r>
        <w:t>The current implementation targets small-to-medium 2D problems (thousands to tens of thousands of DOF) where sparse direct solvers (</w:t>
      </w:r>
      <w:proofErr w:type="gramStart"/>
      <w:r>
        <w:t>scipy.sparse</w:t>
      </w:r>
      <w:proofErr w:type="gramEnd"/>
      <w:r>
        <w:t>.</w:t>
      </w:r>
      <w:proofErr w:type="gramStart"/>
      <w:r>
        <w:t>linalg.spsolve</w:t>
      </w:r>
      <w:proofErr w:type="gramEnd"/>
      <w:r>
        <w:t>) are efficient and robust. The use of direct solvers is explicitly acknowledged in the manuscript. Integration of iterative Krylov solvers (GMRES, BiCGSTAB) with acoustic-appropriate preconditioners is listed as a future development item in the Future Work subsection.</w:t>
      </w:r>
    </w:p>
    <w:p w14:paraId="47A07964" w14:textId="3884F211" w:rsidR="0017535D" w:rsidRDefault="00000000" w:rsidP="00FC6B0F">
      <w:r>
        <w:t>The Implementation section now includes a detailed explanation of the two-stage Dirichlet strategy: (1) zero-pressure conditions are enforced by exact row/column deletion at assembly time; (2) non-zero prescribed pressures are enforced at solve time via static condensation (the partitioned system A_ii p_i = f_i − A_in p_0). The method is verified numerically in the FEniCSx cross-validation (Cases 2 and 3), where both solvers apply the same condensation and agree to within 0.024 % (mesh difference only).</w:t>
      </w:r>
    </w:p>
    <w:p w14:paraId="23A33271" w14:textId="5F473C88" w:rsidR="0017535D" w:rsidRDefault="00000000" w:rsidP="00FC6B0F">
      <w:r>
        <w:t>The normal velocity BC is now verified against three 1D analytical benchmarks in the Quality Control section: (1) piston on left / rigid right: p(Lx) = −iρc₀v_n/sin(kLx), median error 0.0001 %; (2) piston on left / pressure-release right: p(Lx/2) = iρc₀v_n sin(k(Lx−x))/cos(kLx), median error 0.067 %; (3) piston on left / anechoic right: |p| = ρc₀v_n (flat), median error 0.0001 %. All comparisons are implemented in examples/test_direct_helmholtz_pycafe_fenics.py.</w:t>
      </w:r>
    </w:p>
    <w:p w14:paraId="7360B314" w14:textId="4AEA1CC0" w:rsidR="0017535D" w:rsidRDefault="00000000" w:rsidP="00FC6B0F">
      <w:r>
        <w:t>A quantitative cross-validation against FEniCSx (dolfinx 0.9.0, Q2 Lagrange elements) has been added. Four direct Helmholtz benchmark cases and one modal benchmark are compared. Cross-errors: modal eigenfrequencies &lt; 0.0001 %; direct solver cases 0.0000–0.067 % (median). Results are presented in figures in the Quality Control section.</w:t>
      </w:r>
    </w:p>
    <w:p w14:paraId="5604908D" w14:textId="77777777" w:rsidR="0017535D" w:rsidRDefault="0017535D"/>
    <w:p w14:paraId="082A42E6" w14:textId="77777777" w:rsidR="0017535D" w:rsidRDefault="00000000">
      <w:pPr>
        <w:pStyle w:val="Titolo1"/>
      </w:pPr>
      <w:r>
        <w:rPr>
          <w:color w:val="1F497D"/>
        </w:rPr>
        <w:t>Reviewer 5</w:t>
      </w:r>
    </w:p>
    <w:p w14:paraId="68FBA185" w14:textId="4C9F1FF1" w:rsidR="0042131C" w:rsidRDefault="00000000" w:rsidP="0042131C">
      <w:r>
        <w:t xml:space="preserve">Analytical verification has been added: (1) eigenfrequency table for a 1 m × 0.5 m rigid cavity, first six modes, CQUAD4 and CQUAD8 errors; (2) four direct Helmholtz cases with </w:t>
      </w:r>
      <w:proofErr w:type="gramStart"/>
      <w:r>
        <w:t>closed-form</w:t>
      </w:r>
      <w:proofErr w:type="gramEnd"/>
      <w:r>
        <w:t xml:space="preserve"> 1D analytical solutions. All are documented in the revised Quality Control section.</w:t>
      </w:r>
    </w:p>
    <w:p w14:paraId="0596DD9B" w14:textId="60F7537A" w:rsidR="0017535D" w:rsidRDefault="00000000" w:rsidP="0042131C">
      <w:r>
        <w:t xml:space="preserve">The revised Implementation section now explains that the static condensation used is mathematically equivalent to the approaches used by FEniCSx. Alternatives such as penalty and Nitsche methods are acknowledged as equivalent options for enforcing essential BCs. Since </w:t>
      </w:r>
      <w:r>
        <w:lastRenderedPageBreak/>
        <w:t>pyCAFE targets small-to-medium 2D problems, the direct partitioned approach is both sufficient and more transparent for educational purposes.</w:t>
      </w:r>
    </w:p>
    <w:p w14:paraId="54704689" w14:textId="0B4A5A65" w:rsidR="0017535D" w:rsidRDefault="00000000" w:rsidP="0042131C">
      <w:r>
        <w:t>The test suite has been substantially expanded (see response to Reviewer 3) and is now fully described in the Quality Control section. All tests are automated via GitHub Actions CI.</w:t>
      </w:r>
    </w:p>
    <w:p w14:paraId="7C71E251" w14:textId="3E7A9DD2" w:rsidR="0017535D" w:rsidRDefault="00000000" w:rsidP="0042131C">
      <w:r>
        <w:t>The current version targets enclosed 2D acoustic domains where impedance BCs are sufficient. PML and infinite-element formulations for open-domain problems are listed as planned future features in the revised Future Work subsection.</w:t>
      </w:r>
    </w:p>
    <w:p w14:paraId="314929F0" w14:textId="010565EC" w:rsidR="0017535D" w:rsidRDefault="00000000" w:rsidP="0042131C">
      <w:r>
        <w:t>A direct numerical comparison with FEniCSx (the most capable Python-based FEM framework) has been added: five benchmark configurations, modal and direct solvers, with cross-errors below 0.07 % in all cases. A qualitative comparison table is included in the Introduction.</w:t>
      </w:r>
    </w:p>
    <w:p w14:paraId="0840D3D0" w14:textId="77777777" w:rsidR="0017535D" w:rsidRDefault="0017535D"/>
    <w:p w14:paraId="3A0A8644" w14:textId="77777777" w:rsidR="0017535D" w:rsidRDefault="00000000">
      <w:pPr>
        <w:pStyle w:val="Titolo1"/>
      </w:pPr>
      <w:r>
        <w:rPr>
          <w:color w:val="1F497D"/>
        </w:rPr>
        <w:t>Reviewer 6</w:t>
      </w:r>
    </w:p>
    <w:p w14:paraId="2D3C9A68" w14:textId="0D99F3E9" w:rsidR="0017535D" w:rsidRDefault="0042131C" w:rsidP="0042131C">
      <w:r>
        <w:t xml:space="preserve">A </w:t>
      </w:r>
      <w:proofErr w:type="spellStart"/>
      <w:r w:rsidR="00000000">
        <w:t>Zenodo</w:t>
      </w:r>
      <w:proofErr w:type="spellEnd"/>
      <w:r w:rsidR="00000000">
        <w:t xml:space="preserve"> release has been deposited on 15 April 2026. The persistent DOI has been added to the Availability section of the revised manuscript and replaces the GitHub URL as the primary persistent identifier.</w:t>
      </w:r>
    </w:p>
    <w:p w14:paraId="6852322E" w14:textId="662EECFC" w:rsidR="0017535D" w:rsidRDefault="00000000" w:rsidP="0042131C">
      <w:r>
        <w:t>The name and version of the commercial software have been inserted in the Quality Control section and in the figure caption of Figure 2. [Note to authors: please fill in [COMMERCIAL SOFTWARE NAME, VERSION] in the manuscript before submission.]</w:t>
      </w:r>
    </w:p>
    <w:p w14:paraId="64C2BDE1" w14:textId="77777777" w:rsidR="0042131C" w:rsidRDefault="00000000" w:rsidP="0042131C">
      <w:r>
        <w:t>The typo has been corrected in the figure source file and caption.</w:t>
      </w:r>
    </w:p>
    <w:p w14:paraId="49798EFF" w14:textId="4B5C01EB" w:rsidR="0017535D" w:rsidRDefault="00000000">
      <w:r>
        <w:rPr>
          <w:b/>
          <w:color w:val="1F497D"/>
        </w:rPr>
        <w:t xml:space="preserve"> </w:t>
      </w:r>
      <w:r>
        <w:t xml:space="preserve">Keywords now </w:t>
      </w:r>
      <w:proofErr w:type="gramStart"/>
      <w:r>
        <w:t>include:</w:t>
      </w:r>
      <w:proofErr w:type="gramEnd"/>
      <w:r>
        <w:t xml:space="preserve"> Acoustics; Finite Element Method; Python; Helmholtz equation; frequency domain; modal analysis; CQUAD8; computational acoustics; open source.</w:t>
      </w:r>
    </w:p>
    <w:p w14:paraId="1F522BDE" w14:textId="77777777" w:rsidR="0042131C" w:rsidRDefault="0042131C" w:rsidP="0042131C">
      <w:pPr>
        <w:pStyle w:val="Titolo2"/>
        <w:rPr>
          <w:color w:val="000000" w:themeColor="text1"/>
          <w:sz w:val="22"/>
        </w:rPr>
      </w:pPr>
    </w:p>
    <w:p w14:paraId="00EFE03D" w14:textId="3BD96DB2" w:rsidR="0017535D" w:rsidRDefault="00000000" w:rsidP="0042131C">
      <w:pPr>
        <w:pStyle w:val="Titolo2"/>
        <w:rPr>
          <w:b w:val="0"/>
          <w:bCs w:val="0"/>
          <w:color w:val="000000" w:themeColor="text1"/>
          <w:sz w:val="22"/>
        </w:rPr>
      </w:pPr>
      <w:r w:rsidRPr="0042131C">
        <w:rPr>
          <w:b w:val="0"/>
          <w:bCs w:val="0"/>
          <w:color w:val="000000" w:themeColor="text1"/>
          <w:sz w:val="22"/>
        </w:rPr>
        <w:t>The Reuse Potential section now mentions 'pip install pycafe' as the recommended installation method.</w:t>
      </w:r>
    </w:p>
    <w:p w14:paraId="6913C6D1" w14:textId="77777777" w:rsidR="0042131C" w:rsidRPr="0042131C" w:rsidRDefault="0042131C" w:rsidP="0042131C"/>
    <w:p w14:paraId="233D710C" w14:textId="23C271F5" w:rsidR="0017535D" w:rsidRPr="0042131C" w:rsidRDefault="00000000" w:rsidP="0042131C">
      <w:pPr>
        <w:rPr>
          <w:color w:val="000000" w:themeColor="text1"/>
        </w:rPr>
      </w:pPr>
      <w:proofErr w:type="spellStart"/>
      <w:r w:rsidRPr="0042131C">
        <w:rPr>
          <w:color w:val="000000" w:themeColor="text1"/>
        </w:rPr>
        <w:t>PyPI</w:t>
      </w:r>
      <w:proofErr w:type="spellEnd"/>
      <w:r w:rsidRPr="0042131C">
        <w:rPr>
          <w:color w:val="000000" w:themeColor="text1"/>
        </w:rPr>
        <w:t xml:space="preserve"> submission is planned. We will submit before the final acceptance. This item is tracked in the repository issue tracker.</w:t>
      </w:r>
    </w:p>
    <w:p w14:paraId="0726948E" w14:textId="77777777" w:rsidR="0017535D" w:rsidRDefault="0017535D"/>
    <w:p w14:paraId="6E1DD217" w14:textId="77777777" w:rsidR="0017535D" w:rsidRDefault="00000000">
      <w:pPr>
        <w:pStyle w:val="Titolo1"/>
      </w:pPr>
      <w:r>
        <w:rPr>
          <w:color w:val="1F497D"/>
        </w:rPr>
        <w:t>Reviewer 7</w:t>
      </w:r>
    </w:p>
    <w:p w14:paraId="50B16E22" w14:textId="4D504D43" w:rsidR="0017535D" w:rsidRDefault="00000000" w:rsidP="0042131C">
      <w:r>
        <w:t xml:space="preserve">A paragraph comparing </w:t>
      </w:r>
      <w:proofErr w:type="spellStart"/>
      <w:r>
        <w:t>pyCAFE</w:t>
      </w:r>
      <w:proofErr w:type="spellEnd"/>
      <w:r>
        <w:t xml:space="preserve"> with </w:t>
      </w:r>
      <w:proofErr w:type="spellStart"/>
      <w:r>
        <w:t>FEniCSx</w:t>
      </w:r>
      <w:proofErr w:type="spellEnd"/>
      <w:r w:rsidR="0042131C">
        <w:t xml:space="preserve"> </w:t>
      </w:r>
      <w:r>
        <w:t>has been added to the Introduction. The paragraph explains the design-philosophy differences and positions pyCAFE's matrix-explicit, acoustics-</w:t>
      </w:r>
      <w:r>
        <w:lastRenderedPageBreak/>
        <w:t>specific, educational workflow in the landscape of available tools</w:t>
      </w:r>
      <w:r w:rsidR="0042131C">
        <w:t>,</w:t>
      </w:r>
      <w:r>
        <w:rPr>
          <w:b/>
          <w:color w:val="1F497D"/>
        </w:rPr>
        <w:t xml:space="preserve"> </w:t>
      </w:r>
      <w:r>
        <w:t>The Introduction sentence has been expanded to explain the motivation: for time-harmonic steady-state excitation, the frequency-domain formulation avoids time-stepping and directly yields the steady-state response at each frequency of interest, which is computationally more efficient than time integration for narrowband or broadband analyses.</w:t>
      </w:r>
    </w:p>
    <w:p w14:paraId="38264F4F" w14:textId="77777777" w:rsidR="0042131C" w:rsidRDefault="00000000" w:rsidP="0042131C">
      <w:r>
        <w:t xml:space="preserve">The Introduction now explicitly defines the scope: 'low-to-mid frequency' is understood here as the regime where kh &lt; 1 (wave number k times element size h), ensuring that polynomial interpolation remains accurate. In practice this corresponds to at least 6 elements per wavelength. The upper frequency is therefore </w:t>
      </w:r>
      <w:proofErr w:type="gramStart"/>
      <w:r>
        <w:t>mesh-dependent</w:t>
      </w:r>
      <w:proofErr w:type="gramEnd"/>
      <w:r>
        <w:t>.</w:t>
      </w:r>
    </w:p>
    <w:p w14:paraId="51A18169" w14:textId="40A940C3" w:rsidR="0017535D" w:rsidRDefault="00000000" w:rsidP="0042131C">
      <w:r>
        <w:t>The sentence has been split into two: one describing the variational symbolic approach common to general FEM frameworks, and one describing how pyCAFE differs by assembling matrices explicitly.</w:t>
      </w:r>
    </w:p>
    <w:p w14:paraId="497E2011" w14:textId="77777777" w:rsidR="0042131C" w:rsidRDefault="00000000" w:rsidP="0042131C">
      <w:r>
        <w:t>The 2D limitation is now stated explicitly in three places: the Abstract, the Implementation section (Geometry subsection), and the Reuse Potential section.</w:t>
      </w:r>
    </w:p>
    <w:p w14:paraId="1665ECAA" w14:textId="05C5287A" w:rsidR="0017535D" w:rsidRDefault="00000000">
      <w:r>
        <w:rPr>
          <w:b/>
          <w:color w:val="1F497D"/>
        </w:rPr>
        <w:t xml:space="preserve"> </w:t>
      </w:r>
      <w:r>
        <w:t>The guided tutorial notebook examples/</w:t>
      </w:r>
      <w:proofErr w:type="spellStart"/>
      <w:r>
        <w:t>analisi_modale_guidata.ipynb</w:t>
      </w:r>
      <w:proofErr w:type="spellEnd"/>
      <w:r>
        <w:t xml:space="preserve"> now includes explanatory markdown text between each code cell, describing the purpose of each step, the expected output, and connections to the theoretical background.</w:t>
      </w:r>
    </w:p>
    <w:p w14:paraId="5F34FA2A" w14:textId="77777777" w:rsidR="0017535D" w:rsidRDefault="00000000">
      <w:r>
        <w:br w:type="page"/>
      </w:r>
    </w:p>
    <w:p w14:paraId="0E6E173F" w14:textId="77777777" w:rsidR="0017535D" w:rsidRDefault="00000000">
      <w:pPr>
        <w:pStyle w:val="Titolo1"/>
      </w:pPr>
      <w:r>
        <w:rPr>
          <w:color w:val="1F497D"/>
        </w:rPr>
        <w:lastRenderedPageBreak/>
        <w:t>Summary of Changes</w:t>
      </w:r>
    </w:p>
    <w:p w14:paraId="307E7446" w14:textId="77777777" w:rsidR="0017535D" w:rsidRDefault="00000000">
      <w:r>
        <w:t>The table below summarises all compulsory and major changes made in the revised manuscript and repository.</w:t>
      </w:r>
    </w:p>
    <w:tbl>
      <w:tblPr>
        <w:tblStyle w:val="Sfondochiaro-Colore1"/>
        <w:tblW w:w="0" w:type="auto"/>
        <w:tblLook w:val="04A0" w:firstRow="1" w:lastRow="0" w:firstColumn="1" w:lastColumn="0" w:noHBand="0" w:noVBand="1"/>
      </w:tblPr>
      <w:tblGrid>
        <w:gridCol w:w="2120"/>
        <w:gridCol w:w="2010"/>
        <w:gridCol w:w="4726"/>
      </w:tblGrid>
      <w:tr w:rsidR="0017535D" w14:paraId="19FF11E3" w14:textId="77777777" w:rsidTr="001753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3F7798" w14:textId="77777777" w:rsidR="0017535D" w:rsidRDefault="00000000">
            <w:r>
              <w:t>Item</w:t>
            </w:r>
          </w:p>
        </w:tc>
        <w:tc>
          <w:tcPr>
            <w:tcW w:w="2880" w:type="dxa"/>
          </w:tcPr>
          <w:p w14:paraId="63DBFE13" w14:textId="77777777" w:rsidR="0017535D" w:rsidRDefault="00000000">
            <w:pPr>
              <w:cnfStyle w:val="100000000000" w:firstRow="1" w:lastRow="0" w:firstColumn="0" w:lastColumn="0" w:oddVBand="0" w:evenVBand="0" w:oddHBand="0" w:evenHBand="0" w:firstRowFirstColumn="0" w:firstRowLastColumn="0" w:lastRowFirstColumn="0" w:lastRowLastColumn="0"/>
            </w:pPr>
            <w:r>
              <w:t>Reviewer(s)</w:t>
            </w:r>
          </w:p>
        </w:tc>
        <w:tc>
          <w:tcPr>
            <w:tcW w:w="2880" w:type="dxa"/>
          </w:tcPr>
          <w:p w14:paraId="09AF027C" w14:textId="77777777" w:rsidR="0017535D" w:rsidRDefault="00000000">
            <w:pPr>
              <w:cnfStyle w:val="100000000000" w:firstRow="1" w:lastRow="0" w:firstColumn="0" w:lastColumn="0" w:oddVBand="0" w:evenVBand="0" w:oddHBand="0" w:evenHBand="0" w:firstRowFirstColumn="0" w:firstRowLastColumn="0" w:lastRowFirstColumn="0" w:lastRowLastColumn="0"/>
            </w:pPr>
            <w:r>
              <w:t>Status</w:t>
            </w:r>
          </w:p>
        </w:tc>
      </w:tr>
      <w:tr w:rsidR="0017535D" w14:paraId="6615BEBD" w14:textId="77777777" w:rsidTr="001753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5DE5D6" w14:textId="77777777" w:rsidR="0017535D" w:rsidRDefault="00000000">
            <w:r>
              <w:t>Zenodo DOI deposited and added to manuscript</w:t>
            </w:r>
          </w:p>
        </w:tc>
        <w:tc>
          <w:tcPr>
            <w:tcW w:w="2880" w:type="dxa"/>
          </w:tcPr>
          <w:p w14:paraId="524741AB" w14:textId="77777777" w:rsidR="0017535D" w:rsidRDefault="00000000">
            <w:pPr>
              <w:cnfStyle w:val="000000100000" w:firstRow="0" w:lastRow="0" w:firstColumn="0" w:lastColumn="0" w:oddVBand="0" w:evenVBand="0" w:oddHBand="1" w:evenHBand="0" w:firstRowFirstColumn="0" w:firstRowLastColumn="0" w:lastRowFirstColumn="0" w:lastRowLastColumn="0"/>
            </w:pPr>
            <w:r>
              <w:t>R6, R7</w:t>
            </w:r>
          </w:p>
        </w:tc>
        <w:tc>
          <w:tcPr>
            <w:tcW w:w="2880" w:type="dxa"/>
          </w:tcPr>
          <w:p w14:paraId="12AF31CA" w14:textId="77777777" w:rsidR="0017535D" w:rsidRDefault="00000000">
            <w:pPr>
              <w:cnfStyle w:val="000000100000" w:firstRow="0" w:lastRow="0" w:firstColumn="0" w:lastColumn="0" w:oddVBand="0" w:evenVBand="0" w:oddHBand="1" w:evenHBand="0" w:firstRowFirstColumn="0" w:firstRowLastColumn="0" w:lastRowFirstColumn="0" w:lastRowLastColumn="0"/>
            </w:pPr>
            <w:r>
              <w:t>✓ Done — 15 April 2026</w:t>
            </w:r>
          </w:p>
        </w:tc>
      </w:tr>
      <w:tr w:rsidR="0017535D" w14:paraId="0E866F42" w14:textId="77777777" w:rsidTr="0017535D">
        <w:tc>
          <w:tcPr>
            <w:cnfStyle w:val="001000000000" w:firstRow="0" w:lastRow="0" w:firstColumn="1" w:lastColumn="0" w:oddVBand="0" w:evenVBand="0" w:oddHBand="0" w:evenHBand="0" w:firstRowFirstColumn="0" w:firstRowLastColumn="0" w:lastRowFirstColumn="0" w:lastRowLastColumn="0"/>
            <w:tcW w:w="2880" w:type="dxa"/>
          </w:tcPr>
          <w:p w14:paraId="6B4346E1" w14:textId="77777777" w:rsidR="0017535D" w:rsidRDefault="00000000">
            <w:r>
              <w:t>Commercial software name/version in paper</w:t>
            </w:r>
          </w:p>
        </w:tc>
        <w:tc>
          <w:tcPr>
            <w:tcW w:w="2880" w:type="dxa"/>
          </w:tcPr>
          <w:p w14:paraId="0F030700" w14:textId="77777777" w:rsidR="0017535D" w:rsidRDefault="00000000">
            <w:pPr>
              <w:cnfStyle w:val="000000000000" w:firstRow="0" w:lastRow="0" w:firstColumn="0" w:lastColumn="0" w:oddVBand="0" w:evenVBand="0" w:oddHBand="0" w:evenHBand="0" w:firstRowFirstColumn="0" w:firstRowLastColumn="0" w:lastRowFirstColumn="0" w:lastRowLastColumn="0"/>
            </w:pPr>
            <w:r>
              <w:t>R6</w:t>
            </w:r>
          </w:p>
        </w:tc>
        <w:tc>
          <w:tcPr>
            <w:tcW w:w="2880" w:type="dxa"/>
          </w:tcPr>
          <w:p w14:paraId="023035A3" w14:textId="77777777" w:rsidR="0017535D" w:rsidRDefault="00000000">
            <w:pPr>
              <w:cnfStyle w:val="000000000000" w:firstRow="0" w:lastRow="0" w:firstColumn="0" w:lastColumn="0" w:oddVBand="0" w:evenVBand="0" w:oddHBand="0" w:evenHBand="0" w:firstRowFirstColumn="0" w:firstRowLastColumn="0" w:lastRowFirstColumn="0" w:lastRowLastColumn="0"/>
            </w:pPr>
            <w:r>
              <w:t>✓ Done (placeholder to fill)</w:t>
            </w:r>
          </w:p>
        </w:tc>
      </w:tr>
      <w:tr w:rsidR="0017535D" w14:paraId="2221896D" w14:textId="77777777" w:rsidTr="001753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66DD91" w14:textId="77777777" w:rsidR="0017535D" w:rsidRDefault="00000000">
            <w:r>
              <w:t>Typo 'Heigth' → 'Height' in Figure 2</w:t>
            </w:r>
          </w:p>
        </w:tc>
        <w:tc>
          <w:tcPr>
            <w:tcW w:w="2880" w:type="dxa"/>
          </w:tcPr>
          <w:p w14:paraId="434EE30F" w14:textId="77777777" w:rsidR="0017535D" w:rsidRDefault="00000000">
            <w:pPr>
              <w:cnfStyle w:val="000000100000" w:firstRow="0" w:lastRow="0" w:firstColumn="0" w:lastColumn="0" w:oddVBand="0" w:evenVBand="0" w:oddHBand="1" w:evenHBand="0" w:firstRowFirstColumn="0" w:firstRowLastColumn="0" w:lastRowFirstColumn="0" w:lastRowLastColumn="0"/>
            </w:pPr>
            <w:r>
              <w:t>R6</w:t>
            </w:r>
          </w:p>
        </w:tc>
        <w:tc>
          <w:tcPr>
            <w:tcW w:w="2880" w:type="dxa"/>
          </w:tcPr>
          <w:p w14:paraId="4469990E" w14:textId="77777777" w:rsidR="0017535D" w:rsidRDefault="00000000">
            <w:pPr>
              <w:cnfStyle w:val="000000100000" w:firstRow="0" w:lastRow="0" w:firstColumn="0" w:lastColumn="0" w:oddVBand="0" w:evenVBand="0" w:oddHBand="1" w:evenHBand="0" w:firstRowFirstColumn="0" w:firstRowLastColumn="0" w:lastRowFirstColumn="0" w:lastRowLastColumn="0"/>
            </w:pPr>
            <w:r>
              <w:t>✓ Fixed</w:t>
            </w:r>
          </w:p>
        </w:tc>
      </w:tr>
      <w:tr w:rsidR="0017535D" w14:paraId="2C185570" w14:textId="77777777" w:rsidTr="0017535D">
        <w:tc>
          <w:tcPr>
            <w:cnfStyle w:val="001000000000" w:firstRow="0" w:lastRow="0" w:firstColumn="1" w:lastColumn="0" w:oddVBand="0" w:evenVBand="0" w:oddHBand="0" w:evenHBand="0" w:firstRowFirstColumn="0" w:firstRowLastColumn="0" w:lastRowFirstColumn="0" w:lastRowLastColumn="0"/>
            <w:tcW w:w="2880" w:type="dxa"/>
          </w:tcPr>
          <w:p w14:paraId="7BA1DE2E" w14:textId="77777777" w:rsidR="0017535D" w:rsidRDefault="00000000">
            <w:r>
              <w:t>Open-source alternatives paragraph in Introduction</w:t>
            </w:r>
          </w:p>
        </w:tc>
        <w:tc>
          <w:tcPr>
            <w:tcW w:w="2880" w:type="dxa"/>
          </w:tcPr>
          <w:p w14:paraId="0BD584C6" w14:textId="77777777" w:rsidR="0017535D" w:rsidRDefault="00000000">
            <w:pPr>
              <w:cnfStyle w:val="000000000000" w:firstRow="0" w:lastRow="0" w:firstColumn="0" w:lastColumn="0" w:oddVBand="0" w:evenVBand="0" w:oddHBand="0" w:evenHBand="0" w:firstRowFirstColumn="0" w:firstRowLastColumn="0" w:lastRowFirstColumn="0" w:lastRowLastColumn="0"/>
            </w:pPr>
            <w:r>
              <w:t>R1, R7</w:t>
            </w:r>
          </w:p>
        </w:tc>
        <w:tc>
          <w:tcPr>
            <w:tcW w:w="2880" w:type="dxa"/>
          </w:tcPr>
          <w:p w14:paraId="19534F5D" w14:textId="77777777" w:rsidR="0017535D" w:rsidRDefault="00000000">
            <w:pPr>
              <w:cnfStyle w:val="000000000000" w:firstRow="0" w:lastRow="0" w:firstColumn="0" w:lastColumn="0" w:oddVBand="0" w:evenVBand="0" w:oddHBand="0" w:evenHBand="0" w:firstRowFirstColumn="0" w:firstRowLastColumn="0" w:lastRowFirstColumn="0" w:lastRowLastColumn="0"/>
            </w:pPr>
            <w:r>
              <w:t>✓ Added</w:t>
            </w:r>
          </w:p>
        </w:tc>
      </w:tr>
      <w:tr w:rsidR="0017535D" w14:paraId="53DE6F56" w14:textId="77777777" w:rsidTr="001753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927B6F" w14:textId="77777777" w:rsidR="0017535D" w:rsidRDefault="00000000">
            <w:r>
              <w:t>5–7 keywords added</w:t>
            </w:r>
          </w:p>
        </w:tc>
        <w:tc>
          <w:tcPr>
            <w:tcW w:w="2880" w:type="dxa"/>
          </w:tcPr>
          <w:p w14:paraId="5A9631AE" w14:textId="77777777" w:rsidR="0017535D" w:rsidRDefault="00000000">
            <w:pPr>
              <w:cnfStyle w:val="000000100000" w:firstRow="0" w:lastRow="0" w:firstColumn="0" w:lastColumn="0" w:oddVBand="0" w:evenVBand="0" w:oddHBand="1" w:evenHBand="0" w:firstRowFirstColumn="0" w:firstRowLastColumn="0" w:lastRowFirstColumn="0" w:lastRowLastColumn="0"/>
            </w:pPr>
            <w:r>
              <w:t>R1, R6</w:t>
            </w:r>
          </w:p>
        </w:tc>
        <w:tc>
          <w:tcPr>
            <w:tcW w:w="2880" w:type="dxa"/>
          </w:tcPr>
          <w:p w14:paraId="4EFCD0AD" w14:textId="77777777" w:rsidR="0017535D" w:rsidRDefault="00000000">
            <w:pPr>
              <w:cnfStyle w:val="000000100000" w:firstRow="0" w:lastRow="0" w:firstColumn="0" w:lastColumn="0" w:oddVBand="0" w:evenVBand="0" w:oddHBand="1" w:evenHBand="0" w:firstRowFirstColumn="0" w:firstRowLastColumn="0" w:lastRowFirstColumn="0" w:lastRowLastColumn="0"/>
            </w:pPr>
            <w:r>
              <w:t>✓ 9 keywords</w:t>
            </w:r>
          </w:p>
        </w:tc>
      </w:tr>
      <w:tr w:rsidR="0017535D" w14:paraId="406EACC9" w14:textId="77777777" w:rsidTr="0017535D">
        <w:tc>
          <w:tcPr>
            <w:cnfStyle w:val="001000000000" w:firstRow="0" w:lastRow="0" w:firstColumn="1" w:lastColumn="0" w:oddVBand="0" w:evenVBand="0" w:oddHBand="0" w:evenHBand="0" w:firstRowFirstColumn="0" w:firstRowLastColumn="0" w:lastRowFirstColumn="0" w:lastRowLastColumn="0"/>
            <w:tcW w:w="2880" w:type="dxa"/>
          </w:tcPr>
          <w:p w14:paraId="17622510" w14:textId="77777777" w:rsidR="0017535D" w:rsidRDefault="00000000">
            <w:r>
              <w:t>Abstract revised — technical, not promotional</w:t>
            </w:r>
          </w:p>
        </w:tc>
        <w:tc>
          <w:tcPr>
            <w:tcW w:w="2880" w:type="dxa"/>
          </w:tcPr>
          <w:p w14:paraId="2B34A317" w14:textId="77777777" w:rsidR="0017535D" w:rsidRDefault="00000000">
            <w:pPr>
              <w:cnfStyle w:val="000000000000" w:firstRow="0" w:lastRow="0" w:firstColumn="0" w:lastColumn="0" w:oddVBand="0" w:evenVBand="0" w:oddHBand="0" w:evenHBand="0" w:firstRowFirstColumn="0" w:firstRowLastColumn="0" w:lastRowFirstColumn="0" w:lastRowLastColumn="0"/>
            </w:pPr>
            <w:r>
              <w:t>R1</w:t>
            </w:r>
          </w:p>
        </w:tc>
        <w:tc>
          <w:tcPr>
            <w:tcW w:w="2880" w:type="dxa"/>
          </w:tcPr>
          <w:p w14:paraId="1D617FC0" w14:textId="77777777" w:rsidR="0017535D" w:rsidRDefault="00000000">
            <w:pPr>
              <w:cnfStyle w:val="000000000000" w:firstRow="0" w:lastRow="0" w:firstColumn="0" w:lastColumn="0" w:oddVBand="0" w:evenVBand="0" w:oddHBand="0" w:evenHBand="0" w:firstRowFirstColumn="0" w:firstRowLastColumn="0" w:lastRowFirstColumn="0" w:lastRowLastColumn="0"/>
            </w:pPr>
            <w:r>
              <w:t>✓ Revised</w:t>
            </w:r>
          </w:p>
        </w:tc>
      </w:tr>
      <w:tr w:rsidR="0017535D" w14:paraId="08971CAD" w14:textId="77777777" w:rsidTr="001753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E77229" w14:textId="77777777" w:rsidR="0017535D" w:rsidRDefault="00000000">
            <w:r>
              <w:t>GitHub Actions CI pipeline created</w:t>
            </w:r>
          </w:p>
        </w:tc>
        <w:tc>
          <w:tcPr>
            <w:tcW w:w="2880" w:type="dxa"/>
          </w:tcPr>
          <w:p w14:paraId="7A13723F" w14:textId="77777777" w:rsidR="0017535D" w:rsidRDefault="00000000">
            <w:pPr>
              <w:cnfStyle w:val="000000100000" w:firstRow="0" w:lastRow="0" w:firstColumn="0" w:lastColumn="0" w:oddVBand="0" w:evenVBand="0" w:oddHBand="1" w:evenHBand="0" w:firstRowFirstColumn="0" w:firstRowLastColumn="0" w:lastRowFirstColumn="0" w:lastRowLastColumn="0"/>
            </w:pPr>
            <w:r>
              <w:t>R3</w:t>
            </w:r>
          </w:p>
        </w:tc>
        <w:tc>
          <w:tcPr>
            <w:tcW w:w="2880" w:type="dxa"/>
          </w:tcPr>
          <w:p w14:paraId="5712D58B" w14:textId="77777777" w:rsidR="0017535D" w:rsidRDefault="00000000">
            <w:pPr>
              <w:cnfStyle w:val="000000100000" w:firstRow="0" w:lastRow="0" w:firstColumn="0" w:lastColumn="0" w:oddVBand="0" w:evenVBand="0" w:oddHBand="1" w:evenHBand="0" w:firstRowFirstColumn="0" w:firstRowLastColumn="0" w:lastRowFirstColumn="0" w:lastRowLastColumn="0"/>
            </w:pPr>
            <w:r>
              <w:t>✓ .github/workflows/ci.yml</w:t>
            </w:r>
          </w:p>
        </w:tc>
      </w:tr>
      <w:tr w:rsidR="0017535D" w14:paraId="2C692D97" w14:textId="77777777" w:rsidTr="0017535D">
        <w:tc>
          <w:tcPr>
            <w:cnfStyle w:val="001000000000" w:firstRow="0" w:lastRow="0" w:firstColumn="1" w:lastColumn="0" w:oddVBand="0" w:evenVBand="0" w:oddHBand="0" w:evenHBand="0" w:firstRowFirstColumn="0" w:firstRowLastColumn="0" w:lastRowFirstColumn="0" w:lastRowLastColumn="0"/>
            <w:tcW w:w="2880" w:type="dxa"/>
          </w:tcPr>
          <w:p w14:paraId="2833D0E5" w14:textId="77777777" w:rsidR="0017535D" w:rsidRDefault="00000000">
            <w:r>
              <w:t>4-module automated test suite</w:t>
            </w:r>
          </w:p>
        </w:tc>
        <w:tc>
          <w:tcPr>
            <w:tcW w:w="2880" w:type="dxa"/>
          </w:tcPr>
          <w:p w14:paraId="66E1B5EF" w14:textId="77777777" w:rsidR="0017535D" w:rsidRDefault="00000000">
            <w:pPr>
              <w:cnfStyle w:val="000000000000" w:firstRow="0" w:lastRow="0" w:firstColumn="0" w:lastColumn="0" w:oddVBand="0" w:evenVBand="0" w:oddHBand="0" w:evenHBand="0" w:firstRowFirstColumn="0" w:firstRowLastColumn="0" w:lastRowFirstColumn="0" w:lastRowLastColumn="0"/>
            </w:pPr>
            <w:r>
              <w:t>R1, R3</w:t>
            </w:r>
          </w:p>
        </w:tc>
        <w:tc>
          <w:tcPr>
            <w:tcW w:w="2880" w:type="dxa"/>
          </w:tcPr>
          <w:p w14:paraId="7C0D7C5E" w14:textId="77777777" w:rsidR="0017535D" w:rsidRDefault="00000000">
            <w:pPr>
              <w:cnfStyle w:val="000000000000" w:firstRow="0" w:lastRow="0" w:firstColumn="0" w:lastColumn="0" w:oddVBand="0" w:evenVBand="0" w:oddHBand="0" w:evenHBand="0" w:firstRowFirstColumn="0" w:firstRowLastColumn="0" w:lastRowFirstColumn="0" w:lastRowLastColumn="0"/>
            </w:pPr>
            <w:r>
              <w:t>✓ tests/ directory</w:t>
            </w:r>
          </w:p>
        </w:tc>
      </w:tr>
      <w:tr w:rsidR="0017535D" w14:paraId="7CC611B9" w14:textId="77777777" w:rsidTr="001753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06D50B" w14:textId="77777777" w:rsidR="0017535D" w:rsidRDefault="00000000">
            <w:r>
              <w:t>Analytical validation table (6 modes, CQUAD4 + CQUAD8)</w:t>
            </w:r>
          </w:p>
        </w:tc>
        <w:tc>
          <w:tcPr>
            <w:tcW w:w="2880" w:type="dxa"/>
          </w:tcPr>
          <w:p w14:paraId="5327E302" w14:textId="77777777" w:rsidR="0017535D" w:rsidRDefault="00000000">
            <w:pPr>
              <w:cnfStyle w:val="000000100000" w:firstRow="0" w:lastRow="0" w:firstColumn="0" w:lastColumn="0" w:oddVBand="0" w:evenVBand="0" w:oddHBand="1" w:evenHBand="0" w:firstRowFirstColumn="0" w:firstRowLastColumn="0" w:lastRowFirstColumn="0" w:lastRowLastColumn="0"/>
            </w:pPr>
            <w:r>
              <w:t>R3, R4, R5</w:t>
            </w:r>
          </w:p>
        </w:tc>
        <w:tc>
          <w:tcPr>
            <w:tcW w:w="2880" w:type="dxa"/>
          </w:tcPr>
          <w:p w14:paraId="3C3C9FAA" w14:textId="77777777" w:rsidR="0017535D" w:rsidRDefault="00000000">
            <w:pPr>
              <w:cnfStyle w:val="000000100000" w:firstRow="0" w:lastRow="0" w:firstColumn="0" w:lastColumn="0" w:oddVBand="0" w:evenVBand="0" w:oddHBand="1" w:evenHBand="0" w:firstRowFirstColumn="0" w:firstRowLastColumn="0" w:lastRowFirstColumn="0" w:lastRowLastColumn="0"/>
            </w:pPr>
            <w:r>
              <w:t>✓ Quality Control</w:t>
            </w:r>
          </w:p>
        </w:tc>
      </w:tr>
      <w:tr w:rsidR="0017535D" w14:paraId="68340B83" w14:textId="77777777" w:rsidTr="0017535D">
        <w:tc>
          <w:tcPr>
            <w:cnfStyle w:val="001000000000" w:firstRow="0" w:lastRow="0" w:firstColumn="1" w:lastColumn="0" w:oddVBand="0" w:evenVBand="0" w:oddHBand="0" w:evenHBand="0" w:firstRowFirstColumn="0" w:firstRowLastColumn="0" w:lastRowFirstColumn="0" w:lastRowLastColumn="0"/>
            <w:tcW w:w="2880" w:type="dxa"/>
          </w:tcPr>
          <w:p w14:paraId="55A2E5A9" w14:textId="77777777" w:rsidR="0017535D" w:rsidRDefault="00000000">
            <w:r>
              <w:t>h- and p-convergence study with measured slopes</w:t>
            </w:r>
          </w:p>
        </w:tc>
        <w:tc>
          <w:tcPr>
            <w:tcW w:w="2880" w:type="dxa"/>
          </w:tcPr>
          <w:p w14:paraId="65515D2F" w14:textId="77777777" w:rsidR="0017535D" w:rsidRDefault="00000000">
            <w:pPr>
              <w:cnfStyle w:val="000000000000" w:firstRow="0" w:lastRow="0" w:firstColumn="0" w:lastColumn="0" w:oddVBand="0" w:evenVBand="0" w:oddHBand="0" w:evenHBand="0" w:firstRowFirstColumn="0" w:firstRowLastColumn="0" w:lastRowFirstColumn="0" w:lastRowLastColumn="0"/>
            </w:pPr>
            <w:r>
              <w:t>R3, R4</w:t>
            </w:r>
          </w:p>
        </w:tc>
        <w:tc>
          <w:tcPr>
            <w:tcW w:w="2880" w:type="dxa"/>
          </w:tcPr>
          <w:p w14:paraId="7D70B747" w14:textId="77777777" w:rsidR="0017535D" w:rsidRDefault="00000000">
            <w:pPr>
              <w:cnfStyle w:val="000000000000" w:firstRow="0" w:lastRow="0" w:firstColumn="0" w:lastColumn="0" w:oddVBand="0" w:evenVBand="0" w:oddHBand="0" w:evenHBand="0" w:firstRowFirstColumn="0" w:firstRowLastColumn="0" w:lastRowFirstColumn="0" w:lastRowLastColumn="0"/>
            </w:pPr>
            <w:r>
              <w:t>✓ examples/convergence_hp.ipynb</w:t>
            </w:r>
          </w:p>
        </w:tc>
      </w:tr>
      <w:tr w:rsidR="0017535D" w14:paraId="3AABCA25" w14:textId="77777777" w:rsidTr="001753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AA9002" w14:textId="77777777" w:rsidR="0017535D" w:rsidRDefault="00000000">
            <w:r>
              <w:t>FEniCSx modal cross-validation (20 modes, &lt; 0.0001 %)</w:t>
            </w:r>
          </w:p>
        </w:tc>
        <w:tc>
          <w:tcPr>
            <w:tcW w:w="2880" w:type="dxa"/>
          </w:tcPr>
          <w:p w14:paraId="3D637A63" w14:textId="77777777" w:rsidR="0017535D" w:rsidRDefault="00000000">
            <w:pPr>
              <w:cnfStyle w:val="000000100000" w:firstRow="0" w:lastRow="0" w:firstColumn="0" w:lastColumn="0" w:oddVBand="0" w:evenVBand="0" w:oddHBand="1" w:evenHBand="0" w:firstRowFirstColumn="0" w:firstRowLastColumn="0" w:lastRowFirstColumn="0" w:lastRowLastColumn="0"/>
            </w:pPr>
            <w:r>
              <w:t>R3, R4</w:t>
            </w:r>
          </w:p>
        </w:tc>
        <w:tc>
          <w:tcPr>
            <w:tcW w:w="2880" w:type="dxa"/>
          </w:tcPr>
          <w:p w14:paraId="2C5B03C1" w14:textId="77777777" w:rsidR="0017535D" w:rsidRDefault="00000000">
            <w:pPr>
              <w:cnfStyle w:val="000000100000" w:firstRow="0" w:lastRow="0" w:firstColumn="0" w:lastColumn="0" w:oddVBand="0" w:evenVBand="0" w:oddHBand="1" w:evenHBand="0" w:firstRowFirstColumn="0" w:firstRowLastColumn="0" w:lastRowFirstColumn="0" w:lastRowLastColumn="0"/>
            </w:pPr>
            <w:r>
              <w:t>✓ examples/comparison_pycafe_fenics.ipynb</w:t>
            </w:r>
          </w:p>
        </w:tc>
      </w:tr>
      <w:tr w:rsidR="0017535D" w14:paraId="2556B449" w14:textId="77777777" w:rsidTr="0017535D">
        <w:tc>
          <w:tcPr>
            <w:cnfStyle w:val="001000000000" w:firstRow="0" w:lastRow="0" w:firstColumn="1" w:lastColumn="0" w:oddVBand="0" w:evenVBand="0" w:oddHBand="0" w:evenHBand="0" w:firstRowFirstColumn="0" w:firstRowLastColumn="0" w:lastRowFirstColumn="0" w:lastRowLastColumn="0"/>
            <w:tcW w:w="2880" w:type="dxa"/>
          </w:tcPr>
          <w:p w14:paraId="6B76CEC5" w14:textId="77777777" w:rsidR="0017535D" w:rsidRDefault="00000000">
            <w:r>
              <w:t>FEniCSx direct Helmholtz cross-validation (4 BC cases)</w:t>
            </w:r>
          </w:p>
        </w:tc>
        <w:tc>
          <w:tcPr>
            <w:tcW w:w="2880" w:type="dxa"/>
          </w:tcPr>
          <w:p w14:paraId="47E759E5" w14:textId="77777777" w:rsidR="0017535D" w:rsidRDefault="00000000">
            <w:pPr>
              <w:cnfStyle w:val="000000000000" w:firstRow="0" w:lastRow="0" w:firstColumn="0" w:lastColumn="0" w:oddVBand="0" w:evenVBand="0" w:oddHBand="0" w:evenHBand="0" w:firstRowFirstColumn="0" w:firstRowLastColumn="0" w:lastRowFirstColumn="0" w:lastRowLastColumn="0"/>
            </w:pPr>
            <w:r>
              <w:t>R3, R4, R5</w:t>
            </w:r>
          </w:p>
        </w:tc>
        <w:tc>
          <w:tcPr>
            <w:tcW w:w="2880" w:type="dxa"/>
          </w:tcPr>
          <w:p w14:paraId="11708979" w14:textId="77777777" w:rsidR="0017535D" w:rsidRDefault="00000000">
            <w:pPr>
              <w:cnfStyle w:val="000000000000" w:firstRow="0" w:lastRow="0" w:firstColumn="0" w:lastColumn="0" w:oddVBand="0" w:evenVBand="0" w:oddHBand="0" w:evenHBand="0" w:firstRowFirstColumn="0" w:firstRowLastColumn="0" w:lastRowFirstColumn="0" w:lastRowLastColumn="0"/>
            </w:pPr>
            <w:r>
              <w:t>✓ examples/test_direct_helmholtz_pycafe_fenics.py</w:t>
            </w:r>
          </w:p>
        </w:tc>
      </w:tr>
      <w:tr w:rsidR="0017535D" w14:paraId="504D4A9F" w14:textId="77777777" w:rsidTr="001753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4F1962" w14:textId="77777777" w:rsidR="0017535D" w:rsidRDefault="00000000">
            <w:r>
              <w:t>Dirichlet BC two-stage explanation + equation in paper</w:t>
            </w:r>
          </w:p>
        </w:tc>
        <w:tc>
          <w:tcPr>
            <w:tcW w:w="2880" w:type="dxa"/>
          </w:tcPr>
          <w:p w14:paraId="178D754F" w14:textId="77777777" w:rsidR="0017535D" w:rsidRDefault="00000000">
            <w:pPr>
              <w:cnfStyle w:val="000000100000" w:firstRow="0" w:lastRow="0" w:firstColumn="0" w:lastColumn="0" w:oddVBand="0" w:evenVBand="0" w:oddHBand="1" w:evenHBand="0" w:firstRowFirstColumn="0" w:firstRowLastColumn="0" w:lastRowFirstColumn="0" w:lastRowLastColumn="0"/>
            </w:pPr>
            <w:r>
              <w:t>R4, R5</w:t>
            </w:r>
          </w:p>
        </w:tc>
        <w:tc>
          <w:tcPr>
            <w:tcW w:w="2880" w:type="dxa"/>
          </w:tcPr>
          <w:p w14:paraId="28DA0DB9" w14:textId="77777777" w:rsidR="0017535D" w:rsidRDefault="00000000">
            <w:pPr>
              <w:cnfStyle w:val="000000100000" w:firstRow="0" w:lastRow="0" w:firstColumn="0" w:lastColumn="0" w:oddVBand="0" w:evenVBand="0" w:oddHBand="1" w:evenHBand="0" w:firstRowFirstColumn="0" w:firstRowLastColumn="0" w:lastRowFirstColumn="0" w:lastRowLastColumn="0"/>
            </w:pPr>
            <w:r>
              <w:t>✓ Implementation section</w:t>
            </w:r>
          </w:p>
        </w:tc>
      </w:tr>
      <w:tr w:rsidR="0017535D" w14:paraId="72983C7B" w14:textId="77777777" w:rsidTr="0017535D">
        <w:tc>
          <w:tcPr>
            <w:cnfStyle w:val="001000000000" w:firstRow="0" w:lastRow="0" w:firstColumn="1" w:lastColumn="0" w:oddVBand="0" w:evenVBand="0" w:oddHBand="0" w:evenHBand="0" w:firstRowFirstColumn="0" w:firstRowLastColumn="0" w:lastRowFirstColumn="0" w:lastRowLastColumn="0"/>
            <w:tcW w:w="2880" w:type="dxa"/>
          </w:tcPr>
          <w:p w14:paraId="40349C7D" w14:textId="77777777" w:rsidR="0017535D" w:rsidRDefault="00000000">
            <w:r>
              <w:t>Velocity BC verified against 1D analytical benchmarks</w:t>
            </w:r>
          </w:p>
        </w:tc>
        <w:tc>
          <w:tcPr>
            <w:tcW w:w="2880" w:type="dxa"/>
          </w:tcPr>
          <w:p w14:paraId="3D644260" w14:textId="77777777" w:rsidR="0017535D" w:rsidRDefault="00000000">
            <w:pPr>
              <w:cnfStyle w:val="000000000000" w:firstRow="0" w:lastRow="0" w:firstColumn="0" w:lastColumn="0" w:oddVBand="0" w:evenVBand="0" w:oddHBand="0" w:evenHBand="0" w:firstRowFirstColumn="0" w:firstRowLastColumn="0" w:lastRowFirstColumn="0" w:lastRowLastColumn="0"/>
            </w:pPr>
            <w:r>
              <w:t>R4</w:t>
            </w:r>
          </w:p>
        </w:tc>
        <w:tc>
          <w:tcPr>
            <w:tcW w:w="2880" w:type="dxa"/>
          </w:tcPr>
          <w:p w14:paraId="4A5323FB" w14:textId="77777777" w:rsidR="0017535D" w:rsidRDefault="00000000">
            <w:pPr>
              <w:cnfStyle w:val="000000000000" w:firstRow="0" w:lastRow="0" w:firstColumn="0" w:lastColumn="0" w:oddVBand="0" w:evenVBand="0" w:oddHBand="0" w:evenHBand="0" w:firstRowFirstColumn="0" w:firstRowLastColumn="0" w:lastRowFirstColumn="0" w:lastRowLastColumn="0"/>
            </w:pPr>
            <w:r>
              <w:t>✓ Quality Control</w:t>
            </w:r>
          </w:p>
        </w:tc>
      </w:tr>
      <w:tr w:rsidR="0017535D" w14:paraId="2A5F13B4" w14:textId="77777777" w:rsidTr="001753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5534E4" w14:textId="77777777" w:rsidR="0017535D" w:rsidRDefault="00000000">
            <w:r>
              <w:lastRenderedPageBreak/>
              <w:t>Performance comparison (timing) pyCAFE vs FEniCSx</w:t>
            </w:r>
          </w:p>
        </w:tc>
        <w:tc>
          <w:tcPr>
            <w:tcW w:w="2880" w:type="dxa"/>
          </w:tcPr>
          <w:p w14:paraId="40DAF28F" w14:textId="77777777" w:rsidR="0017535D" w:rsidRDefault="00000000">
            <w:pPr>
              <w:cnfStyle w:val="000000100000" w:firstRow="0" w:lastRow="0" w:firstColumn="0" w:lastColumn="0" w:oddVBand="0" w:evenVBand="0" w:oddHBand="1" w:evenHBand="0" w:firstRowFirstColumn="0" w:firstRowLastColumn="0" w:lastRowFirstColumn="0" w:lastRowLastColumn="0"/>
            </w:pPr>
            <w:r>
              <w:t>R3</w:t>
            </w:r>
          </w:p>
        </w:tc>
        <w:tc>
          <w:tcPr>
            <w:tcW w:w="2880" w:type="dxa"/>
          </w:tcPr>
          <w:p w14:paraId="2A9828B9" w14:textId="77777777" w:rsidR="0017535D" w:rsidRDefault="00000000">
            <w:pPr>
              <w:cnfStyle w:val="000000100000" w:firstRow="0" w:lastRow="0" w:firstColumn="0" w:lastColumn="0" w:oddVBand="0" w:evenVBand="0" w:oddHBand="1" w:evenHBand="0" w:firstRowFirstColumn="0" w:firstRowLastColumn="0" w:lastRowFirstColumn="0" w:lastRowLastColumn="0"/>
            </w:pPr>
            <w:r>
              <w:t>✓ Quality Control</w:t>
            </w:r>
          </w:p>
        </w:tc>
      </w:tr>
      <w:tr w:rsidR="0017535D" w14:paraId="79C8C554" w14:textId="77777777" w:rsidTr="0017535D">
        <w:tc>
          <w:tcPr>
            <w:cnfStyle w:val="001000000000" w:firstRow="0" w:lastRow="0" w:firstColumn="1" w:lastColumn="0" w:oddVBand="0" w:evenVBand="0" w:oddHBand="0" w:evenHBand="0" w:firstRowFirstColumn="0" w:firstRowLastColumn="0" w:lastRowFirstColumn="0" w:lastRowLastColumn="0"/>
            <w:tcW w:w="2880" w:type="dxa"/>
          </w:tcPr>
          <w:p w14:paraId="1C83B9B5" w14:textId="77777777" w:rsidR="0017535D" w:rsidRDefault="00000000">
            <w:r>
              <w:t>Future Work subsection (3D, PML, time-domain, etc.)</w:t>
            </w:r>
          </w:p>
        </w:tc>
        <w:tc>
          <w:tcPr>
            <w:tcW w:w="2880" w:type="dxa"/>
          </w:tcPr>
          <w:p w14:paraId="04781C04" w14:textId="77777777" w:rsidR="0017535D" w:rsidRDefault="00000000">
            <w:pPr>
              <w:cnfStyle w:val="000000000000" w:firstRow="0" w:lastRow="0" w:firstColumn="0" w:lastColumn="0" w:oddVBand="0" w:evenVBand="0" w:oddHBand="0" w:evenHBand="0" w:firstRowFirstColumn="0" w:firstRowLastColumn="0" w:lastRowFirstColumn="0" w:lastRowLastColumn="0"/>
            </w:pPr>
            <w:r>
              <w:t>R3, R4, R5</w:t>
            </w:r>
          </w:p>
        </w:tc>
        <w:tc>
          <w:tcPr>
            <w:tcW w:w="2880" w:type="dxa"/>
          </w:tcPr>
          <w:p w14:paraId="0ED76EF7" w14:textId="77777777" w:rsidR="0017535D" w:rsidRDefault="00000000">
            <w:pPr>
              <w:cnfStyle w:val="000000000000" w:firstRow="0" w:lastRow="0" w:firstColumn="0" w:lastColumn="0" w:oddVBand="0" w:evenVBand="0" w:oddHBand="0" w:evenHBand="0" w:firstRowFirstColumn="0" w:firstRowLastColumn="0" w:lastRowFirstColumn="0" w:lastRowLastColumn="0"/>
            </w:pPr>
            <w:r>
              <w:t>✓ Reuse Potential</w:t>
            </w:r>
          </w:p>
        </w:tc>
      </w:tr>
      <w:tr w:rsidR="0017535D" w14:paraId="5A48EEC8" w14:textId="77777777" w:rsidTr="001753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473249" w14:textId="77777777" w:rsidR="0017535D" w:rsidRDefault="00000000">
            <w:r>
              <w:t>Reuse Potential expanded (3 subsections)</w:t>
            </w:r>
          </w:p>
        </w:tc>
        <w:tc>
          <w:tcPr>
            <w:tcW w:w="2880" w:type="dxa"/>
          </w:tcPr>
          <w:p w14:paraId="1460DD49" w14:textId="77777777" w:rsidR="0017535D" w:rsidRDefault="00000000">
            <w:pPr>
              <w:cnfStyle w:val="000000100000" w:firstRow="0" w:lastRow="0" w:firstColumn="0" w:lastColumn="0" w:oddVBand="0" w:evenVBand="0" w:oddHBand="1" w:evenHBand="0" w:firstRowFirstColumn="0" w:firstRowLastColumn="0" w:lastRowFirstColumn="0" w:lastRowLastColumn="0"/>
            </w:pPr>
            <w:r>
              <w:t>R1, R3</w:t>
            </w:r>
          </w:p>
        </w:tc>
        <w:tc>
          <w:tcPr>
            <w:tcW w:w="2880" w:type="dxa"/>
          </w:tcPr>
          <w:p w14:paraId="6315E6ED" w14:textId="77777777" w:rsidR="0017535D" w:rsidRDefault="00000000">
            <w:pPr>
              <w:cnfStyle w:val="000000100000" w:firstRow="0" w:lastRow="0" w:firstColumn="0" w:lastColumn="0" w:oddVBand="0" w:evenVBand="0" w:oddHBand="1" w:evenHBand="0" w:firstRowFirstColumn="0" w:firstRowLastColumn="0" w:lastRowFirstColumn="0" w:lastRowLastColumn="0"/>
            </w:pPr>
            <w:r>
              <w:t>✓ Reuse Potential</w:t>
            </w:r>
          </w:p>
        </w:tc>
      </w:tr>
      <w:tr w:rsidR="0017535D" w14:paraId="1EAA75A9" w14:textId="77777777" w:rsidTr="0017535D">
        <w:tc>
          <w:tcPr>
            <w:cnfStyle w:val="001000000000" w:firstRow="0" w:lastRow="0" w:firstColumn="1" w:lastColumn="0" w:oddVBand="0" w:evenVBand="0" w:oddHBand="0" w:evenHBand="0" w:firstRowFirstColumn="0" w:firstRowLastColumn="0" w:lastRowFirstColumn="0" w:lastRowLastColumn="0"/>
            <w:tcW w:w="2880" w:type="dxa"/>
          </w:tcPr>
          <w:p w14:paraId="3AFD62F2" w14:textId="77777777" w:rsidR="0017535D" w:rsidRDefault="00000000">
            <w:r>
              <w:t>Guided tutorial notebook with connecting text</w:t>
            </w:r>
          </w:p>
        </w:tc>
        <w:tc>
          <w:tcPr>
            <w:tcW w:w="2880" w:type="dxa"/>
          </w:tcPr>
          <w:p w14:paraId="25C9B429" w14:textId="77777777" w:rsidR="0017535D" w:rsidRDefault="00000000">
            <w:pPr>
              <w:cnfStyle w:val="000000000000" w:firstRow="0" w:lastRow="0" w:firstColumn="0" w:lastColumn="0" w:oddVBand="0" w:evenVBand="0" w:oddHBand="0" w:evenHBand="0" w:firstRowFirstColumn="0" w:firstRowLastColumn="0" w:lastRowFirstColumn="0" w:lastRowLastColumn="0"/>
            </w:pPr>
            <w:r>
              <w:t>R2, R7</w:t>
            </w:r>
          </w:p>
        </w:tc>
        <w:tc>
          <w:tcPr>
            <w:tcW w:w="2880" w:type="dxa"/>
          </w:tcPr>
          <w:p w14:paraId="46113EFE" w14:textId="77777777" w:rsidR="0017535D" w:rsidRDefault="00000000">
            <w:pPr>
              <w:cnfStyle w:val="000000000000" w:firstRow="0" w:lastRow="0" w:firstColumn="0" w:lastColumn="0" w:oddVBand="0" w:evenVBand="0" w:oddHBand="0" w:evenHBand="0" w:firstRowFirstColumn="0" w:firstRowLastColumn="0" w:lastRowFirstColumn="0" w:lastRowLastColumn="0"/>
            </w:pPr>
            <w:r>
              <w:t>✓ analisi_modale_guidata.ipynb</w:t>
            </w:r>
          </w:p>
        </w:tc>
      </w:tr>
      <w:tr w:rsidR="0017535D" w14:paraId="7133C2AD" w14:textId="77777777" w:rsidTr="001753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7090A4" w14:textId="77777777" w:rsidR="0017535D" w:rsidRDefault="00000000">
            <w:r>
              <w:t>Reference [6] author names corrected</w:t>
            </w:r>
          </w:p>
        </w:tc>
        <w:tc>
          <w:tcPr>
            <w:tcW w:w="2880" w:type="dxa"/>
          </w:tcPr>
          <w:p w14:paraId="5569988D" w14:textId="77777777" w:rsidR="0017535D" w:rsidRDefault="00000000">
            <w:pPr>
              <w:cnfStyle w:val="000000100000" w:firstRow="0" w:lastRow="0" w:firstColumn="0" w:lastColumn="0" w:oddVBand="0" w:evenVBand="0" w:oddHBand="1" w:evenHBand="0" w:firstRowFirstColumn="0" w:firstRowLastColumn="0" w:lastRowFirstColumn="0" w:lastRowLastColumn="0"/>
            </w:pPr>
            <w:r>
              <w:t>R6</w:t>
            </w:r>
          </w:p>
        </w:tc>
        <w:tc>
          <w:tcPr>
            <w:tcW w:w="2880" w:type="dxa"/>
          </w:tcPr>
          <w:p w14:paraId="4F0E432C" w14:textId="77777777" w:rsidR="0017535D" w:rsidRDefault="00000000">
            <w:pPr>
              <w:cnfStyle w:val="000000100000" w:firstRow="0" w:lastRow="0" w:firstColumn="0" w:lastColumn="0" w:oddVBand="0" w:evenVBand="0" w:oddHBand="1" w:evenHBand="0" w:firstRowFirstColumn="0" w:firstRowLastColumn="0" w:lastRowFirstColumn="0" w:lastRowLastColumn="0"/>
            </w:pPr>
            <w:r>
              <w:t>✓ Bibliography</w:t>
            </w:r>
          </w:p>
        </w:tc>
      </w:tr>
      <w:tr w:rsidR="0017535D" w14:paraId="0DC32BB5" w14:textId="77777777" w:rsidTr="0017535D">
        <w:tc>
          <w:tcPr>
            <w:cnfStyle w:val="001000000000" w:firstRow="0" w:lastRow="0" w:firstColumn="1" w:lastColumn="0" w:oddVBand="0" w:evenVBand="0" w:oddHBand="0" w:evenHBand="0" w:firstRowFirstColumn="0" w:firstRowLastColumn="0" w:lastRowFirstColumn="0" w:lastRowLastColumn="0"/>
            <w:tcW w:w="2880" w:type="dxa"/>
          </w:tcPr>
          <w:p w14:paraId="69C062ED" w14:textId="77777777" w:rsidR="0017535D" w:rsidRDefault="00000000">
            <w:r>
              <w:t>Emoji removed from test_basic.py</w:t>
            </w:r>
          </w:p>
        </w:tc>
        <w:tc>
          <w:tcPr>
            <w:tcW w:w="2880" w:type="dxa"/>
          </w:tcPr>
          <w:p w14:paraId="14A01683" w14:textId="77777777" w:rsidR="0017535D" w:rsidRDefault="00000000">
            <w:pPr>
              <w:cnfStyle w:val="000000000000" w:firstRow="0" w:lastRow="0" w:firstColumn="0" w:lastColumn="0" w:oddVBand="0" w:evenVBand="0" w:oddHBand="0" w:evenHBand="0" w:firstRowFirstColumn="0" w:firstRowLastColumn="0" w:lastRowFirstColumn="0" w:lastRowLastColumn="0"/>
            </w:pPr>
            <w:r>
              <w:t>R7</w:t>
            </w:r>
          </w:p>
        </w:tc>
        <w:tc>
          <w:tcPr>
            <w:tcW w:w="2880" w:type="dxa"/>
          </w:tcPr>
          <w:p w14:paraId="5C8C4F18" w14:textId="77777777" w:rsidR="0017535D" w:rsidRDefault="00000000">
            <w:pPr>
              <w:cnfStyle w:val="000000000000" w:firstRow="0" w:lastRow="0" w:firstColumn="0" w:lastColumn="0" w:oddVBand="0" w:evenVBand="0" w:oddHBand="0" w:evenHBand="0" w:firstRowFirstColumn="0" w:firstRowLastColumn="0" w:lastRowFirstColumn="0" w:lastRowLastColumn="0"/>
            </w:pPr>
            <w:r>
              <w:t>✓ Fixed</w:t>
            </w:r>
          </w:p>
        </w:tc>
      </w:tr>
      <w:tr w:rsidR="0017535D" w14:paraId="61A77DB3" w14:textId="77777777" w:rsidTr="001753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706605" w14:textId="77777777" w:rsidR="0017535D" w:rsidRDefault="00000000">
            <w:r>
              <w:t>Figure 3 font size increased</w:t>
            </w:r>
          </w:p>
        </w:tc>
        <w:tc>
          <w:tcPr>
            <w:tcW w:w="2880" w:type="dxa"/>
          </w:tcPr>
          <w:p w14:paraId="5A06882F" w14:textId="77777777" w:rsidR="0017535D" w:rsidRDefault="00000000">
            <w:pPr>
              <w:cnfStyle w:val="000000100000" w:firstRow="0" w:lastRow="0" w:firstColumn="0" w:lastColumn="0" w:oddVBand="0" w:evenVBand="0" w:oddHBand="1" w:evenHBand="0" w:firstRowFirstColumn="0" w:firstRowLastColumn="0" w:lastRowFirstColumn="0" w:lastRowLastColumn="0"/>
            </w:pPr>
            <w:r>
              <w:t>R7</w:t>
            </w:r>
          </w:p>
        </w:tc>
        <w:tc>
          <w:tcPr>
            <w:tcW w:w="2880" w:type="dxa"/>
          </w:tcPr>
          <w:p w14:paraId="47A36005" w14:textId="77777777" w:rsidR="0017535D" w:rsidRDefault="00000000">
            <w:pPr>
              <w:cnfStyle w:val="000000100000" w:firstRow="0" w:lastRow="0" w:firstColumn="0" w:lastColumn="0" w:oddVBand="0" w:evenVBand="0" w:oddHBand="1" w:evenHBand="0" w:firstRowFirstColumn="0" w:firstRowLastColumn="0" w:lastRowFirstColumn="0" w:lastRowLastColumn="0"/>
            </w:pPr>
            <w:r>
              <w:t>✓ Fixed</w:t>
            </w:r>
          </w:p>
        </w:tc>
      </w:tr>
      <w:tr w:rsidR="0017535D" w14:paraId="6AF186B9" w14:textId="77777777" w:rsidTr="0017535D">
        <w:tc>
          <w:tcPr>
            <w:cnfStyle w:val="001000000000" w:firstRow="0" w:lastRow="0" w:firstColumn="1" w:lastColumn="0" w:oddVBand="0" w:evenVBand="0" w:oddHBand="0" w:evenHBand="0" w:firstRowFirstColumn="0" w:firstRowLastColumn="0" w:lastRowFirstColumn="0" w:lastRowLastColumn="0"/>
            <w:tcW w:w="2880" w:type="dxa"/>
          </w:tcPr>
          <w:p w14:paraId="718E2CB7" w14:textId="77777777" w:rsidR="0017535D" w:rsidRDefault="00000000">
            <w:r>
              <w:t>'Low to mid frequency' defined (kh &lt; 1)</w:t>
            </w:r>
          </w:p>
        </w:tc>
        <w:tc>
          <w:tcPr>
            <w:tcW w:w="2880" w:type="dxa"/>
          </w:tcPr>
          <w:p w14:paraId="76566FDF" w14:textId="77777777" w:rsidR="0017535D" w:rsidRDefault="00000000">
            <w:pPr>
              <w:cnfStyle w:val="000000000000" w:firstRow="0" w:lastRow="0" w:firstColumn="0" w:lastColumn="0" w:oddVBand="0" w:evenVBand="0" w:oddHBand="0" w:evenHBand="0" w:firstRowFirstColumn="0" w:firstRowLastColumn="0" w:lastRowFirstColumn="0" w:lastRowLastColumn="0"/>
            </w:pPr>
            <w:r>
              <w:t>R7</w:t>
            </w:r>
          </w:p>
        </w:tc>
        <w:tc>
          <w:tcPr>
            <w:tcW w:w="2880" w:type="dxa"/>
          </w:tcPr>
          <w:p w14:paraId="6D0EC6E7" w14:textId="77777777" w:rsidR="0017535D" w:rsidRDefault="00000000">
            <w:pPr>
              <w:cnfStyle w:val="000000000000" w:firstRow="0" w:lastRow="0" w:firstColumn="0" w:lastColumn="0" w:oddVBand="0" w:evenVBand="0" w:oddHBand="0" w:evenHBand="0" w:firstRowFirstColumn="0" w:firstRowLastColumn="0" w:lastRowFirstColumn="0" w:lastRowLastColumn="0"/>
            </w:pPr>
            <w:r>
              <w:t>✓ Introduction</w:t>
            </w:r>
          </w:p>
        </w:tc>
      </w:tr>
      <w:tr w:rsidR="0017535D" w14:paraId="2E9E5489" w14:textId="77777777" w:rsidTr="001753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CA5C52" w14:textId="77777777" w:rsidR="0017535D" w:rsidRDefault="00000000">
            <w:r>
              <w:t>pip install pycafe mentioned in paper</w:t>
            </w:r>
          </w:p>
        </w:tc>
        <w:tc>
          <w:tcPr>
            <w:tcW w:w="2880" w:type="dxa"/>
          </w:tcPr>
          <w:p w14:paraId="44448C08" w14:textId="77777777" w:rsidR="0017535D" w:rsidRDefault="00000000">
            <w:pPr>
              <w:cnfStyle w:val="000000100000" w:firstRow="0" w:lastRow="0" w:firstColumn="0" w:lastColumn="0" w:oddVBand="0" w:evenVBand="0" w:oddHBand="1" w:evenHBand="0" w:firstRowFirstColumn="0" w:firstRowLastColumn="0" w:lastRowFirstColumn="0" w:lastRowLastColumn="0"/>
            </w:pPr>
            <w:r>
              <w:t>R6</w:t>
            </w:r>
          </w:p>
        </w:tc>
        <w:tc>
          <w:tcPr>
            <w:tcW w:w="2880" w:type="dxa"/>
          </w:tcPr>
          <w:p w14:paraId="14BCEB5F" w14:textId="77777777" w:rsidR="0017535D" w:rsidRDefault="00000000">
            <w:pPr>
              <w:cnfStyle w:val="000000100000" w:firstRow="0" w:lastRow="0" w:firstColumn="0" w:lastColumn="0" w:oddVBand="0" w:evenVBand="0" w:oddHBand="1" w:evenHBand="0" w:firstRowFirstColumn="0" w:firstRowLastColumn="0" w:lastRowFirstColumn="0" w:lastRowLastColumn="0"/>
            </w:pPr>
            <w:r>
              <w:t>✓ Reuse Potential</w:t>
            </w:r>
          </w:p>
        </w:tc>
      </w:tr>
    </w:tbl>
    <w:p w14:paraId="0B1DC804" w14:textId="77777777" w:rsidR="009A677C" w:rsidRDefault="009A677C"/>
    <w:sectPr w:rsidR="009A677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878854403">
    <w:abstractNumId w:val="8"/>
  </w:num>
  <w:num w:numId="2" w16cid:durableId="1980570221">
    <w:abstractNumId w:val="6"/>
  </w:num>
  <w:num w:numId="3" w16cid:durableId="672998511">
    <w:abstractNumId w:val="5"/>
  </w:num>
  <w:num w:numId="4" w16cid:durableId="1323849720">
    <w:abstractNumId w:val="4"/>
  </w:num>
  <w:num w:numId="5" w16cid:durableId="2143888510">
    <w:abstractNumId w:val="7"/>
  </w:num>
  <w:num w:numId="6" w16cid:durableId="2005549266">
    <w:abstractNumId w:val="3"/>
  </w:num>
  <w:num w:numId="7" w16cid:durableId="1816531057">
    <w:abstractNumId w:val="2"/>
  </w:num>
  <w:num w:numId="8" w16cid:durableId="2069497992">
    <w:abstractNumId w:val="1"/>
  </w:num>
  <w:num w:numId="9" w16cid:durableId="1798715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535D"/>
    <w:rsid w:val="00290480"/>
    <w:rsid w:val="0029639D"/>
    <w:rsid w:val="00326F90"/>
    <w:rsid w:val="00345CE5"/>
    <w:rsid w:val="0042131C"/>
    <w:rsid w:val="00715474"/>
    <w:rsid w:val="009A677C"/>
    <w:rsid w:val="00AA1D8D"/>
    <w:rsid w:val="00B47730"/>
    <w:rsid w:val="00CB0664"/>
    <w:rsid w:val="00DD7F0C"/>
    <w:rsid w:val="00E21F01"/>
    <w:rsid w:val="00FC693F"/>
    <w:rsid w:val="00FC6B0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72384E"/>
  <w14:defaultImageDpi w14:val="300"/>
  <w15:docId w15:val="{3F8974E7-6DFE-8044-B5EB-D6AE720EF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rPr>
      <w:rFonts w:ascii="Calibri" w:hAnsi="Calibri"/>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8</Pages>
  <Words>2357</Words>
  <Characters>13439</Characters>
  <Application>Microsoft Office Word</Application>
  <DocSecurity>0</DocSecurity>
  <Lines>111</Lines>
  <Paragraphs>31</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15765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Daniele  Fabbri</cp:lastModifiedBy>
  <cp:revision>4</cp:revision>
  <dcterms:created xsi:type="dcterms:W3CDTF">2013-12-23T23:15:00Z</dcterms:created>
  <dcterms:modified xsi:type="dcterms:W3CDTF">2026-04-29T18:15:00Z</dcterms:modified>
  <cp:category/>
</cp:coreProperties>
</file>