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Statistical Analysis of the Inference Task Results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Prepared for: “Can Audio LLMs Understand Spoken Language? An Inference Test Based on Alternative Semantics.” Covers Tables 2, 5, 6, 7, 8, 9, and 10 (inference task only, per request).</w:t>
      </w:r>
    </w:p>
    <w:p>
      <w:pPr>
        <w:pStyle w:val="Heading1"/>
        <w:spacing w:after="120" w:before="280"/>
      </w:pPr>
      <w:r>
        <w:t xml:space="preserve">1. Data and method</w:t>
      </w:r>
    </w:p>
    <w:p>
      <w:pPr>
        <w:spacing w:after="120"/>
      </w:pPr>
      <w:r>
        <w:t xml:space="preserve">All figures below are reconstructed from the percentages and cell sizes (N) already reported in the paper's tables — no raw per-item data was available. Counts of correct trials were computed as round(pct/100 × N). This reconstruction is exact for FS=0 (zero-shot) cells, where each of the N items is tested exactly once. For FS=2 and FS=5 cells, the paper's fold-averaging procedure (§4.1.1) means the effective number of independent trials is not simply N — those results are flagged as approximate throughout and should be treated cautiously.</w:t>
      </w:r>
    </w:p>
    <w:p>
      <w:pPr>
        <w:spacing w:after="120"/>
      </w:pPr>
      <w:r>
        <w:t xml:space="preserve">Tests used: exact two-sided binomial tests against the 50% text-only baseline; two-proportion z-tests (with Fisher's exact test as a robustness check, used as primary for any cell with N ≤ 24); Wilson score confidence intervals; Cohen's h as effect size; and grouped-binomial logistic regression (GLM) for the Focus × Logic × Alternative factorial design in Table 10. A companion Python script (inference_stats.py) reproduces every number in this report and can be re-run if item-level data becomes available — which would allow more powerful paired tests (e.g. McNemar's) than are possible from aggregates alone.</w:t>
      </w:r>
    </w:p>
    <w:p>
      <w:pPr>
        <w:pStyle w:val="Heading1"/>
        <w:spacing w:after="120" w:before="280"/>
      </w:pPr>
      <w:r>
        <w:t xml:space="preserve">2. Are models above chance? (Table 2 vs. 50% baseline)</w:t>
      </w:r>
    </w:p>
    <w:p>
      <w:pPr>
        <w:spacing w:after="120"/>
      </w:pPr>
      <w:r>
        <w:t xml:space="preserve">Of 28 model × few-shot × speaker cells, 10 differ significantly from the 50% baseline at α=.05 (uncorrected) — but the direction matters: 7 are significantly ABOVE chance, and 3 are significantly BELOW chance. After Bonferroni correction for 28 tests (α=.0018), only 6 cells remain significant, and all 6 belong to gemini-3.1-pro-preview and gemini-2.5-flash. No GPT-4o-audio or GPT-audio cell is significantly above baseline at either threshold.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200"/>
        <w:gridCol w:w="900"/>
        <w:gridCol w:w="1400"/>
        <w:gridCol w:w="1650"/>
      </w:tblGrid>
      <w:tr>
        <w:tc>
          <w:tcPr>
            <w:tcW w:type="dxa" w:w="260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160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W w:type="dxa" w:w="120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Acc.</w:t>
            </w:r>
          </w:p>
        </w:tc>
        <w:tc>
          <w:tcPr>
            <w:tcW w:type="dxa" w:w="90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140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 (vs 50%)</w:t>
            </w:r>
          </w:p>
        </w:tc>
        <w:tc>
          <w:tcPr>
            <w:tcW w:type="dxa" w:w="165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Bonferroni-sig.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gemini-3.1-pro-preview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FS0, Sp0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87.5%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&lt;.0001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 (above)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gemini-3.1-pro-preview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FS0, Sp1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91.7%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&lt;.0001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 (above)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gemini-3.1-pro-preview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FS2, Sp0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82.8%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&lt;.0001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 (above)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gemini-3.1-pro-preview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FS2, Sp1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91.7%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&lt;.0001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 (above)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gemini-3.1-pro-preview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FS5, Sp0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89.8%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&lt;.0001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 (above)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gemini-2.5-flash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FS0, Sp0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68.8%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&lt;.0001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 (above)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gemini-2.5-flash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FS5, Sp0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60.2%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.0267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(uncorrected only)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gpt-4o-audio-preview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FS0, Sp1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20.8%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.0066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— significantly BELOW chance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gpt-audio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FS0, Sp0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39.1%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.0167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— significantly BELOW chance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gpt-audio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FS2, Sp0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39.1%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.0167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— significantly BELOW chance</w:t>
            </w:r>
          </w:p>
        </w:tc>
      </w:tr>
    </w:tbl>
    <w:p>
      <w:pPr>
        <w:spacing w:after="120"/>
      </w:pPr>
      <w:r>
        <w:rPr>
          <w:i/>
          <w:iCs/>
        </w:rPr>
        <w:t xml:space="preserve">Note on direction: three of the ten “significant” cells are significantly worse than the 50% ceiling, not better — gpt-audio (Sp0, FS0 and FS2) and gpt-4o-audio-preview (Sp1). This is worth stating explicitly if this analysis goes into the paper: it suggests the GPT models aren't merely failing to exploit audio, but in some conditions may be actively misled by it relative to a naive text-only guess.</w:t>
      </w:r>
    </w:p>
    <w:p>
      <w:pPr>
        <w:pStyle w:val="Heading1"/>
        <w:spacing w:after="120" w:before="280"/>
      </w:pPr>
      <w:r>
        <w:t xml:space="preserve">3. Model-vs-model comparisons (Speaker 0, FS=0, N=128 each)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1400"/>
        <w:gridCol w:w="1500"/>
        <w:gridCol w:w="1650"/>
      </w:tblGrid>
      <w:tr>
        <w:tc>
          <w:tcPr>
            <w:tcW w:type="dxa" w:w="340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Comparison</w:t>
            </w:r>
          </w:p>
        </w:tc>
        <w:tc>
          <w:tcPr>
            <w:tcW w:type="dxa" w:w="140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Acc. 1</w:t>
            </w:r>
          </w:p>
        </w:tc>
        <w:tc>
          <w:tcPr>
            <w:tcW w:type="dxa" w:w="140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Acc. 2</w:t>
            </w:r>
          </w:p>
        </w:tc>
        <w:tc>
          <w:tcPr>
            <w:tcW w:type="dxa" w:w="150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 (z-test)</w:t>
            </w:r>
          </w:p>
        </w:tc>
        <w:tc>
          <w:tcPr>
            <w:tcW w:type="dxa" w:w="165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Cohen's h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gemini-3.1-pro vs gemini-2.5-flash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87.5%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68.8%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.0003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0.46 (medium–large)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gemini-3.1-pro vs gpt-4o-audio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87.5%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46.1%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&lt;.0001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0.93 (large)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gemini-3.1-pro vs gpt-audio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87.5%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39.1%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&lt;.0001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1.07 (large)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gemini-2.5-flash vs gpt-4o-audio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68.8%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46.1%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.0002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0.46 (medium–large)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gemini-2.5-flash vs gpt-audio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68.8%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39.1%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&lt;.0001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0.60 (large)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gpt-4o-audio vs gpt-audio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46.1%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39.1%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.2553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 (small, n.s.)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Pooled Gemini vs. pooled GPT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78.1%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42.6%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&lt;.0001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0.75 (large)</w:t>
            </w:r>
          </w:p>
        </w:tc>
      </w:tr>
    </w:tbl>
    <w:p>
      <w:pPr>
        <w:spacing w:after="120"/>
      </w:pPr>
      <w:r>
        <w:t xml:space="preserve">This directly supports the paper's core contrast: every Gemini-vs-GPT pairing is significant with a medium-to-large effect size, while the two GPT models don't significantly differ from each other. The pooled family comparison (all Gemini vs. all GPT trials, Sp0/FS0) is significant with a large effect (h=0.75).</w:t>
      </w:r>
    </w:p>
    <w:p>
      <w:pPr>
        <w:pStyle w:val="Heading1"/>
        <w:spacing w:after="120" w:before="280"/>
      </w:pPr>
      <w:r>
        <w:t xml:space="preserve">4. Few-shot effects within model (Speaker 0)</w:t>
      </w:r>
    </w:p>
    <w:p>
      <w:pPr>
        <w:spacing w:after="120"/>
      </w:pPr>
      <w:r>
        <w:t xml:space="preserve">None of the FS0-vs-FS2, FS0-vs-FS5, or FS2-vs-FS5 pairwise comparisons reach significance for any model except gemini-2.5-flash's FS0-vs-FS2 drop (68.8% → 53.9%, p=.0147) — and that is a decrease, not an improvement. A GLM trend test (accuracy as a function of FS=0/2/5) is non-significant for all four models (all p&gt;.24). Concretely: gemini-3.1-pro-preview's rise to 90% at FS=5 (highlighted in the paper as “the most notable positive effect”) is not statistically distinguishable from its FS=0 accuracy of 87.5% (p=.55) or its FS=2 accuracy of 82.8% (p=.10).</w:t>
      </w:r>
    </w:p>
    <w:p>
      <w:pPr>
        <w:spacing w:after="120"/>
      </w:pPr>
      <w:r>
        <w:rPr>
          <w:i/>
          <w:iCs/>
        </w:rPr>
        <w:t xml:space="preserve">Caveat: because FS&gt;0 conditions reuse each item across multiple folds (§4.1.1), N=128 overstates the number of independent trials for these cells, so these tests are conservative approximations built on a best-available reading of the aggregates — true variance could be somewhat higher or lower. The qualitative conclusion (no reliable few-shot benefit for the inference task) is unlikely to be an artifact of this, but effect-size claims should be softened.</w:t>
      </w:r>
    </w:p>
    <w:p>
      <w:pPr>
        <w:pStyle w:val="Heading1"/>
        <w:spacing w:after="120" w:before="280"/>
      </w:pPr>
      <w:r>
        <w:t xml:space="preserve">5. Speaker effects within model (FS=0)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1900"/>
        <w:gridCol w:w="1450"/>
      </w:tblGrid>
      <w:tr>
        <w:tc>
          <w:tcPr>
            <w:tcW w:type="dxa" w:w="360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Comparison</w:t>
            </w:r>
          </w:p>
        </w:tc>
        <w:tc>
          <w:tcPr>
            <w:tcW w:type="dxa" w:w="140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Acc. 1</w:t>
            </w:r>
          </w:p>
        </w:tc>
        <w:tc>
          <w:tcPr>
            <w:tcW w:type="dxa" w:w="140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Acc. 2</w:t>
            </w:r>
          </w:p>
        </w:tc>
        <w:tc>
          <w:tcPr>
            <w:tcW w:type="dxa" w:w="190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 (Fisher exact)</w:t>
            </w:r>
          </w:p>
        </w:tc>
        <w:tc>
          <w:tcPr>
            <w:tcW w:type="dxa" w:w="145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Cohen's h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gemini-3.1-pro: Sp0 vs Sp2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87.5%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54.2%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.0004</w:t>
            </w:r>
          </w:p>
        </w:tc>
        <w:tc>
          <w:tcPr>
            <w:tcW w:type="dxa" w:w="14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0.76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gemini-3.1-pro: Sp1 vs Sp2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91.7%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54.2%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.0078</w:t>
            </w:r>
          </w:p>
        </w:tc>
        <w:tc>
          <w:tcPr>
            <w:tcW w:type="dxa" w:w="14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0.90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gemini-3.1-pro: Sp0 vs Sp1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87.5%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91.7%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.740</w:t>
            </w:r>
          </w:p>
        </w:tc>
        <w:tc>
          <w:tcPr>
            <w:tcW w:type="dxa" w:w="14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n.s.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gemini-2.5-flash: Sp0 vs Sp2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68.8%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41.7%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.0186</w:t>
            </w:r>
          </w:p>
        </w:tc>
        <w:tc>
          <w:tcPr>
            <w:tcW w:type="dxa" w:w="14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gpt-4o-audio: Sp0 vs Sp1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46.1%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20.8%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.0246</w:t>
            </w:r>
          </w:p>
        </w:tc>
        <w:tc>
          <w:tcPr>
            <w:tcW w:type="dxa" w:w="14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0.54</w:t>
            </w:r>
          </w:p>
        </w:tc>
      </w:tr>
    </w:tbl>
    <w:p>
      <w:pPr>
        <w:spacing w:after="120"/>
      </w:pPr>
      <w:r>
        <w:t xml:space="preserve">Speaker 2 is a significantly harder condition for both Gemini models. This is a real, statistically supported generalization gap — worth flagging in the paper as a limitation on speaker robustness rather than folding silently into the overall averages.</w:t>
      </w:r>
    </w:p>
    <w:p>
      <w:pPr>
        <w:pStyle w:val="Heading1"/>
        <w:spacing w:after="120" w:before="280"/>
      </w:pPr>
      <w:r>
        <w:t xml:space="preserve">6. Factorial design: Focus × Logic × Alternative (Table 10, N=16/cell)</w:t>
      </w:r>
    </w:p>
    <w:p>
      <w:pPr>
        <w:spacing w:after="120"/>
      </w:pPr>
      <w:r>
        <w:t xml:space="preserve">A grouped-binomial logistic regression was fit with Model, Focus (1/2), Logic (POS/NEG), and Alternative (1/2) as predictors. Pooled across models, none of the three design factors reach significance (Focus p=.77, Logic p=.14, Alternative p=.38) — the Model term dominates (gemini-3.1 and gemini-2.5 significantly above the gpt-audio reference level, p&lt;.001 and p=.0003 respectively). Per-model breakdowns show the factors do matter for specific models, but cell sizes (16 items) limit power: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400"/>
        <w:gridCol w:w="1150"/>
      </w:tblGrid>
      <w:tr>
        <w:tc>
          <w:tcPr>
            <w:tcW w:type="dxa" w:w="240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240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Significant factor(s)</w:t>
            </w:r>
          </w:p>
        </w:tc>
        <w:tc>
          <w:tcPr>
            <w:tcW w:type="dxa" w:w="340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115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Gemini-3.1-pro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Focus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Focus=2 lower accuracy than Focus=1</w:t>
            </w:r>
          </w:p>
        </w:tc>
        <w:tc>
          <w:tcPr>
            <w:tcW w:type="dxa" w:w="11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.0115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Gemini-3.1-pro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Alternative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Alt=2 higher accuracy than Alt=1</w:t>
            </w:r>
          </w:p>
        </w:tc>
        <w:tc>
          <w:tcPr>
            <w:tcW w:type="dxa" w:w="11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.0341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Gemini-2.5-flash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significant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p&gt;.12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GPT-4o-audio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significant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p&gt;.10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GPT-audio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Logic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 higher accuracy than NEG</w:t>
            </w:r>
          </w:p>
        </w:tc>
        <w:tc>
          <w:tcPr>
            <w:tcW w:type="dxa" w:w="11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.0114</w:t>
            </w:r>
          </w:p>
        </w:tc>
      </w:tr>
    </w:tbl>
    <w:p>
      <w:pPr>
        <w:spacing w:after="120"/>
      </w:pPr>
      <w:r>
        <w:t xml:space="preserve">This statistically confirms the qualitative claim in Table 6 that gemini-3.1-pro's accuracy depends on focus position (consistent with 95% at Foc1 vs. 80% at Foc2 in that table). With only 16 trials per cell, however, the per-model GLMs are underpowered; several coefficients in the .1–.2 p-value range (e.g. GPT-4o's Focus effect, p=.109) may reflect real but undetected effects rather than true nulls.</w:t>
      </w:r>
    </w:p>
    <w:p>
      <w:pPr>
        <w:pStyle w:val="Heading1"/>
        <w:spacing w:after="120" w:before="280"/>
      </w:pPr>
      <w:r>
        <w:t xml:space="preserve">7. Human survey vs. best model</w:t>
      </w:r>
    </w:p>
    <w:p>
      <w:pPr>
        <w:spacing w:after="120"/>
      </w:pPr>
      <w:r>
        <w:t xml:space="preserve">Comparing the paper's blended “overall” human accuracy (67.7%, pooled unevenly across speakers) against gemini-3.1-pro's Speaker-0 accuracy is not an apples-to-apples comparison, since the speaker mix differs. Per-speaker comparisons are more informative: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400"/>
        <w:gridCol w:w="1400"/>
        <w:gridCol w:w="1350"/>
      </w:tblGrid>
      <w:tr>
        <w:tc>
          <w:tcPr>
            <w:tcW w:type="dxa" w:w="160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Speaker</w:t>
            </w:r>
          </w:p>
        </w:tc>
        <w:tc>
          <w:tcPr>
            <w:tcW w:type="dxa" w:w="260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Human acc. (n items)</w:t>
            </w:r>
          </w:p>
        </w:tc>
        <w:tc>
          <w:tcPr>
            <w:tcW w:type="dxa" w:w="240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gemini-3.1-pro acc.</w:t>
            </w:r>
          </w:p>
        </w:tc>
        <w:tc>
          <w:tcPr>
            <w:tcW w:type="dxa" w:w="140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 (z-test)</w:t>
            </w:r>
          </w:p>
        </w:tc>
        <w:tc>
          <w:tcPr>
            <w:tcW w:type="dxa" w:w="1350"/>
            <w:shd w:fill="D9D9D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Speaker 0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86.1% (72)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87.5% (128)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.779</w:t>
            </w:r>
          </w:p>
        </w:tc>
        <w:tc>
          <w:tcPr>
            <w:tcW w:type="dxa" w:w="13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significant difference — model matches humans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Speaker 1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63.5% (96)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91.7% (24)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.0076</w:t>
            </w:r>
          </w:p>
        </w:tc>
        <w:tc>
          <w:tcPr>
            <w:tcW w:type="dxa" w:w="13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 significantly exceeds humans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Speaker 2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60.0% (120)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54.2% (24)</w:t>
            </w:r>
          </w:p>
        </w:tc>
        <w:tc>
          <w:tcPr>
            <w:tcW w:type="dxa" w:w="14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.596</w:t>
            </w:r>
          </w:p>
        </w:tc>
        <w:tc>
          <w:tcPr>
            <w:tcW w:type="dxa" w:w="135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significant difference — both near-chance-ish</w:t>
            </w:r>
          </w:p>
        </w:tc>
      </w:tr>
    </w:tbl>
    <w:p>
      <w:pPr>
        <w:spacing w:after="120"/>
      </w:pPr>
      <w:r>
        <w:rPr>
          <w:i/>
          <w:iCs/>
        </w:rPr>
        <w:t xml:space="preserve">This nuances “the task is challenging for all models”: gemini-3.1-pro is statistically indistinguishable from human performance for two of three speakers, and significantly better than humans for the third. Caveat: the survey's per-respondent trial counts were reconstructed from reported means (respondents × 24 items), treating respondent-item pairs as independent trials, which is conservative/approximate since responses from the same respondent are correlated.</w:t>
      </w:r>
    </w:p>
    <w:p>
      <w:pPr>
        <w:pStyle w:val="Heading1"/>
        <w:spacing w:after="120" w:before="280"/>
      </w:pPr>
      <w:r>
        <w:t xml:space="preserve">8. Summary and recommendations for the manuscript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core claim — Gemini models show real, audio-conditioned inference ability while GPT models don't clearly exceed a 50% baseline — holds up under formal testing (large effect sizes, Bonferroni-robust for Gemini).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few-shot benefit highlighted for gemini-3.1-pro (FS5 → 90%) is not statistically distinguishable from FS0/FS2; consider softening that claim or explicitly noting it isn't significant.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Speaker 2 is a significant, specific weak point for both Gemini models — worth its own sentence rather than being absorbed into averages.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Three cells (GPT models) are significantly BELOW the 50% baseline, not merely at it — an interesting, citable result suggesting audio input can actively mislead these two models in some conditions.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gemini-3.1-pro is statistically indistinguishable from human accuracy for 2 of 3 speakers — a stronger and more specific claim than “humans solve the task better on average.”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item-level (per-example) correctness becomes available, re-run with paired tests (McNemar's for same-item model comparisons, mixed-effects logistic regression with item as a random effect for the factorial design) — this would tighten the few-shot and factorial-design conclusions considerably, since aggregated-cell tests here likely understate true power for within-item comparisons and overstate it where FS-fold trials are correlated.</w:t>
      </w:r>
    </w:p>
    <w:p>
      <w:pPr>
        <w:pStyle w:val="Heading1"/>
        <w:spacing w:after="120" w:before="280"/>
      </w:pPr>
      <w:r>
        <w:t xml:space="preserve">Appendix: full numeric output</w:t>
      </w:r>
    </w:p>
    <w:p>
      <w:pPr>
        <w:spacing w:after="120"/>
      </w:pPr>
      <w:r>
        <w:rPr>
          <w:i/>
          <w:iCs/>
        </w:rPr>
        <w:t xml:space="preserve">See inference_stats.py (companion file) for the complete, reproducible output referenced above, including all 28 baseline tests, all pairwise model/speaker/few-shot comparisons, and full GLM coefficient tables.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2026-07-13T16:06:08.328Z</dcterms:created>
  <dcterms:modified xsi:type="dcterms:W3CDTF">2026-07-13T16:06:08.328Z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