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Statistical Analysis of the Inference Task — Item-Level Re-analysis (v2)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Supersedes the earlier aggregate-only report. Built from the raw master CSVs in data/output/ (item-level correctness per model/speaker/few-shot/fold) plus the real Qualtrics respondent-level survey data, rather than the percentages printed in the paper's tables.</w:t>
      </w:r>
    </w:p>
    <w:p>
      <w:pPr>
        <w:pStyle w:val="Heading1"/>
        <w:spacing w:after="120" w:before="280"/>
      </w:pPr>
      <w:r>
        <w:t xml:space="preserve">0. Provenance and validation</w:t>
      </w:r>
    </w:p>
    <w:p>
      <w:pPr>
        <w:spacing w:after="120"/>
      </w:pPr>
      <w:r>
        <w:t xml:space="preserve">A script (code/build_dataset.py) automatically locates, de-duplicates (by file content hash), and reconstructs the exact source files behind each cell of Table 2, by matching reconstructed accuracy against the published percentage. All 28 model x speaker x few-shot cells matched within 0.1 percentage points (most were exact single-file matches; one — gemini-2.5-flash, Speaker 1, FS=2 — required combining two partial-fold files). The resulting item-level Focus/Logic/Alternative breakdowns were cross-checked against the paper's Tables 6-9 and reproduce them exactly (e.g. gemini-3.1-pro: 95.3%/79.7% by focus vs. the paper's reported 95%/80%). This gives high confidence the reconstructed dataset is the actual data behind the paper, not an approximation of it.</w:t>
      </w:r>
    </w:p>
    <w:p>
      <w:pPr>
        <w:pStyle w:val="Heading1"/>
        <w:spacing w:after="120" w:before="280"/>
      </w:pPr>
      <w:r>
        <w:t xml:space="preserve">1. What changed vs. the earlier (aggregate-only) report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50"/>
      </w:tblGrid>
      <w:tr>
        <w:tc>
          <w:tcPr>
            <w:tcW w:type="dxa" w:w="24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Analysis</w:t>
            </w:r>
          </w:p>
        </w:tc>
        <w:tc>
          <w:tcPr>
            <w:tcW w:type="dxa" w:w="35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v1 (aggregate %, independent-proportion tests)</w:t>
            </w:r>
          </w:p>
        </w:tc>
        <w:tc>
          <w:tcPr>
            <w:tcW w:type="dxa" w:w="345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v2 (item-level, paired/clustered tests)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 vs. model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Two-proportion z-test, independent samples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McNemar's exact test on the SAME 128 items — more powerful, methodologically correct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Few-shot trend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Independent-proportion z-test; N overstated for FS&gt;0 (fold re-use ignored)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GEE logistic regression clustered by item, using actual 3-4 trials/item for FS=2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Focus x Logic x Alt design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Grouped-binomial GLM on N=16 aggregated cells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GEE logistic regression on all 512 item-level observations, clustered by item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 survey vs. model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Reconstructed pseudo-N from reported means (288 non-independent respondent-item pairs)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One-sample t-test on the real 12 respondents' actual accuracy scores</w:t>
            </w:r>
          </w:p>
        </w:tc>
      </w:tr>
    </w:tbl>
    <w:p>
      <w:pPr>
        <w:pStyle w:val="Heading1"/>
        <w:spacing w:after="120" w:before="280"/>
      </w:pPr>
      <w:r>
        <w:t xml:space="preserve">2. Model-vs-model comparisons — McNemar's exact test (Speaker 0, FS=0, same 128 items)</w:t>
      </w:r>
    </w:p>
    <w:p>
      <w:pPr>
        <w:spacing w:after="120"/>
      </w:pPr>
      <w:r>
        <w:t xml:space="preserve">All four models were tested on literally the same 128 items, so this is now an exactly paired comparison rather than an approximation.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2350"/>
        <w:gridCol w:w="1200"/>
      </w:tblGrid>
      <w:tr>
        <w:tc>
          <w:tcPr>
            <w:tcW w:type="dxa" w:w="32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Comparison</w:t>
            </w:r>
          </w:p>
        </w:tc>
        <w:tc>
          <w:tcPr>
            <w:tcW w:type="dxa" w:w="13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Acc. 1</w:t>
            </w:r>
          </w:p>
        </w:tc>
        <w:tc>
          <w:tcPr>
            <w:tcW w:type="dxa" w:w="13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Acc. 2</w:t>
            </w:r>
          </w:p>
        </w:tc>
        <w:tc>
          <w:tcPr>
            <w:tcW w:type="dxa" w:w="235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Items where only 1 right / only 2 right</w:t>
            </w:r>
          </w:p>
        </w:tc>
        <w:tc>
          <w:tcPr>
            <w:tcW w:type="dxa" w:w="12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McNemar p (exact)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 vs gemini-2.5-flash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87.5%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68.8%</w:t>
            </w:r>
          </w:p>
        </w:tc>
        <w:tc>
          <w:tcPr>
            <w:tcW w:type="dxa" w:w="23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 / 6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 vs gpt-4o-audio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87.5%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46.1%</w:t>
            </w:r>
          </w:p>
        </w:tc>
        <w:tc>
          <w:tcPr>
            <w:tcW w:type="dxa" w:w="23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59 / 6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 vs gpt-audio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87.5%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39.1%</w:t>
            </w:r>
          </w:p>
        </w:tc>
        <w:tc>
          <w:tcPr>
            <w:tcW w:type="dxa" w:w="23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66 / 4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gemini-2.5-flash vs gpt-4o-audio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68.8%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46.1%</w:t>
            </w:r>
          </w:p>
        </w:tc>
        <w:tc>
          <w:tcPr>
            <w:tcW w:type="dxa" w:w="23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 / 17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.0003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gemini-2.5-flash vs gpt-audio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68.8%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39.1%</w:t>
            </w:r>
          </w:p>
        </w:tc>
        <w:tc>
          <w:tcPr>
            <w:tcW w:type="dxa" w:w="23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57 / 19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gpt-4o-audio vs gpt-audio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46.1%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39.1%</w:t>
            </w:r>
          </w:p>
        </w:tc>
        <w:tc>
          <w:tcPr>
            <w:tcW w:type="dxa" w:w="23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 / 20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.2529 (n.s.)</w:t>
            </w:r>
          </w:p>
        </w:tc>
      </w:tr>
    </w:tbl>
    <w:p>
      <w:pPr>
        <w:spacing w:after="120"/>
      </w:pPr>
      <w:r>
        <w:t xml:space="preserve">Every Gemini-vs-GPT comparison is significant at p&lt;.001, and the paired test is if anything more decisive than the earlier independent-samples version. The two GPT models remain statistically indistinguishable from each other.</w:t>
      </w:r>
    </w:p>
    <w:p>
      <w:pPr>
        <w:pStyle w:val="Heading1"/>
        <w:spacing w:after="120" w:before="280"/>
      </w:pPr>
      <w:r>
        <w:t xml:space="preserve">3. Speaker effects — paired where possible</w:t>
      </w:r>
    </w:p>
    <w:p>
      <w:pPr>
        <w:spacing w:after="120"/>
      </w:pPr>
      <w:r>
        <w:t xml:space="preserve">Speakers 1 and 2 were recorded reading the identical 24 items, so a Speaker1-vs-Speaker2 comparison can be exactly paired (McNemar's). Speaker 0 uses a separate item pool (128 items, only partially overlapping in structure, not in identity, with Speakers 1/2), so Speaker 0 comparisons still require independent-samples tests as in the v1 report.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900"/>
        <w:gridCol w:w="1250"/>
      </w:tblGrid>
      <w:tr>
        <w:tc>
          <w:tcPr>
            <w:tcW w:type="dxa" w:w="32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Sp1 acc.</w:t>
            </w:r>
          </w:p>
        </w:tc>
        <w:tc>
          <w:tcPr>
            <w:tcW w:type="dxa" w:w="15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Sp2 acc.</w:t>
            </w:r>
          </w:p>
        </w:tc>
        <w:tc>
          <w:tcPr>
            <w:tcW w:type="dxa" w:w="19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Items disagreeing</w:t>
            </w:r>
          </w:p>
        </w:tc>
        <w:tc>
          <w:tcPr>
            <w:tcW w:type="dxa" w:w="125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McNemar p (exact)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gemini-3.1-pro-preview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91.7%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54.2%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.0039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gemini-2.5-flash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58.3%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41.7%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.388 (n.s.)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gpt-4o-audio-preview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41.7%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.0625 (marginal)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gpt-audio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29.2%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37.5%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.753 (n.s.)</w:t>
            </w:r>
          </w:p>
        </w:tc>
      </w:tr>
    </w:tbl>
    <w:p>
      <w:pPr>
        <w:spacing w:after="120"/>
      </w:pPr>
      <w:r>
        <w:t xml:space="preserve">gemini-3.1-pro's Speaker 2 weakness is confirmed with an exact paired test. gpt-4o-audio-preview shows a marginal (p=.06) speaker effect in the opposite direction (better on Speaker 2) — worth a cautious mention rather than a strong claim.</w:t>
      </w:r>
    </w:p>
    <w:p>
      <w:pPr>
        <w:pStyle w:val="Heading1"/>
        <w:spacing w:after="120" w:before="280"/>
      </w:pPr>
      <w:r>
        <w:t xml:space="preserve">4. Focus x Logic x Alternative design — cluster-robust (GEE) regression, item-level</w:t>
      </w:r>
    </w:p>
    <w:p>
      <w:pPr>
        <w:spacing w:after="120"/>
      </w:pPr>
      <w:r>
        <w:t xml:space="preserve">Fit on all 512 observations (128 items x 4 models), clustering standard errors by item to account for the fact that each item is shared across all four models. Pooled results match the earlier aggregated-cell analysis closely: none of Focus (p=.79), Logic (p=.19), or Alternative (p=.43) reach significance pooled across models; Model remains the dominant, highly significant term (gemini-3.1 and gemini-2.5 both significantly above the gpt-audio reference, p&lt;.001). Per-model breakdowns (identical to v1, since FS=0 has exactly one trial per item per model, so no clustering correction was actually needed there) confirm: gemini-3.1-pro shows significant Focus (p=.012) and Alternative (p=.034) effects; gpt-audio shows a significant Logic effect (p=.011); gemini-2.5-flash and gpt-4o-audio show none of the three significant.</w:t>
      </w:r>
    </w:p>
    <w:p>
      <w:pPr>
        <w:pStyle w:val="Heading1"/>
        <w:spacing w:after="120" w:before="280"/>
      </w:pPr>
      <w:r>
        <w:t xml:space="preserve">5. Few-shot trend — GEE clustered by item (properly modeling repeated folds)</w:t>
      </w:r>
    </w:p>
    <w:p>
      <w:pPr>
        <w:spacing w:after="120"/>
      </w:pPr>
      <w:r>
        <w:t xml:space="preserve">FS=2 items are each tested 3-4 times (once per cross-validation fold) — these are correlated, not independent, observations. A GEE logistic regression clustered by item, combining FS=0/2/5 (752 total observations across 128 items), tests the linear trend properly: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50"/>
        <w:gridCol w:w="1250"/>
        <w:gridCol w:w="1250"/>
        <w:gridCol w:w="1800"/>
        <w:gridCol w:w="1200"/>
      </w:tblGrid>
      <w:tr>
        <w:tc>
          <w:tcPr>
            <w:tcW w:type="dxa" w:w="26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25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FS0</w:t>
            </w:r>
          </w:p>
        </w:tc>
        <w:tc>
          <w:tcPr>
            <w:tcW w:type="dxa" w:w="125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FS2</w:t>
            </w:r>
          </w:p>
        </w:tc>
        <w:tc>
          <w:tcPr>
            <w:tcW w:type="dxa" w:w="125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FS5</w:t>
            </w:r>
          </w:p>
        </w:tc>
        <w:tc>
          <w:tcPr>
            <w:tcW w:type="dxa" w:w="18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Trend slope (logit/step)</w:t>
            </w:r>
          </w:p>
        </w:tc>
        <w:tc>
          <w:tcPr>
            <w:tcW w:type="dxa" w:w="12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gemini-3.1-pro-preview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87.5%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82.5%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90.0%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+0.060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.226 (n.s.)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gemini-2.5-flash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68.8%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53.6%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60.0%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.240 (n.s.)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gpt-4o-audio-preview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46.1%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42.3%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49.2%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+0.034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.422 (n.s.)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gpt-audio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39.1%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39.1%</w:t>
            </w:r>
          </w:p>
        </w:tc>
        <w:tc>
          <w:tcPr>
            <w:tcW w:type="dxa" w:w="1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45.0%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+0.054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.256 (n.s.)</w:t>
            </w:r>
          </w:p>
        </w:tc>
      </w:tr>
    </w:tbl>
    <w:p>
      <w:pPr>
        <w:spacing w:after="120"/>
      </w:pPr>
      <w:r>
        <w:t xml:space="preserve">No model shows a statistically reliable few-shot effect on the inference task, now confirmed on the real per-trial data rather than an approximation. This corroborates the v1 conclusion (which was flagged as tentative) with much stronger footing: the “most notable positive effect” claimed for gemini-3.1-pro at FS=5 is not statistically distinguishable from FS=0.</w:t>
      </w:r>
    </w:p>
    <w:p>
      <w:pPr>
        <w:pStyle w:val="Heading1"/>
        <w:spacing w:after="120" w:before="280"/>
      </w:pPr>
      <w:r>
        <w:t xml:space="preserve">6. Human survey vs. model — real per-respondent data</w:t>
      </w:r>
    </w:p>
    <w:p>
      <w:pPr>
        <w:spacing w:after="120"/>
      </w:pPr>
      <w:r>
        <w:t xml:space="preserve">The survey's raw Qualtrics export (code/qualtrics_export/output/inference_scoring/) gives the actual 12 respondents' individual accuracy scores (3 for Speaker 0, 4 for Speaker 1, 5 for Speaker 2 — exactly matching Table 5). A one-sample t-test compares each speaker's respondent accuracies against gemini-3.1-pro's (fixed, full-item-set) accuracy for that speaker: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200"/>
        <w:gridCol w:w="2200"/>
        <w:gridCol w:w="900"/>
        <w:gridCol w:w="1750"/>
      </w:tblGrid>
      <w:tr>
        <w:tc>
          <w:tcPr>
            <w:tcW w:type="dxa" w:w="16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Speaker</w:t>
            </w:r>
          </w:p>
        </w:tc>
        <w:tc>
          <w:tcPr>
            <w:tcW w:type="dxa" w:w="17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 respondents</w:t>
            </w:r>
          </w:p>
        </w:tc>
        <w:tc>
          <w:tcPr>
            <w:tcW w:type="dxa" w:w="22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Human mean (SD)</w:t>
            </w:r>
          </w:p>
        </w:tc>
        <w:tc>
          <w:tcPr>
            <w:tcW w:type="dxa" w:w="22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gemini-3.1-pro acc.</w:t>
            </w:r>
          </w:p>
        </w:tc>
        <w:tc>
          <w:tcPr>
            <w:tcW w:type="dxa" w:w="9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175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Speaker 0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86.1% (6.4)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-0.38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.742 (n.s.)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Speaker 1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63.5% (18.1)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91.7%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-3.10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.053 (marginal)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Speaker 2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60.0% (33.3)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54.2%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.715 (n.s.)</w:t>
            </w:r>
          </w:p>
        </w:tc>
      </w:tr>
    </w:tbl>
    <w:p>
      <w:pPr>
        <w:spacing w:after="120"/>
      </w:pPr>
      <w:r>
        <w:rPr>
          <w:i/>
          <w:iCs/>
        </w:rPr>
        <w:t xml:space="preserve">This is the most consequential correction in this re-analysis. The v1 report (which approximated 288 independent respondent-item trials from the reported means) found the Speaker-1 human-vs-model gap “clearly significant” (p=.008). Using the real 12 respondents as the sampling unit — which is what the data actually supports — that same comparison is only marginal (p=.053, with only n=4 respondents and high between-respondent variance, SD=18.1). The qualitative story is unchanged (gemini-3.1-pro is at least as good as humans on Speakers 0 and 2, and appears to exceed them on Speaker 1), but the Speaker-1 claim should be stated as suggestive rather than established — a larger respondent sample would be needed to confirm it.</w:t>
      </w:r>
    </w:p>
    <w:p>
      <w:pPr>
        <w:pStyle w:val="Heading1"/>
        <w:spacing w:after="120" w:before="280"/>
      </w:pPr>
      <w:r>
        <w:t xml:space="preserve">7. Bottom line for the manuscript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Gemini-vs-GPT contrast is now confirmed with an exact paired test (McNemar's) rather than an approximation — if anything, stronger evidence than before.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few-shot claim (FS5 boost for gemini-3.1-pro) remains non-significant under a properly clustered analysis of the real repeated-fold data — recommend softening or dropping that claim.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human-survey comparison for Speaker 1 should be described as suggestive (p=.053, n=4 respondents) rather than a confirmed advantage for the model — this is a meaningful downgrade from the v1 report's approximate estimate, and matters if this comparison is used to argue models exceed human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Speaker 2 remains a genuine, now paired-test-confirmed weak point for gemini-3.1-pro (p=.004 vs. Speaker 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scripts (build_dataset.py, inference_stats_v2.py) are saved in code/ and are fully reproducible from the data already in this repository — re-run any time the dataset is updated.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2026-07-13T20:44:05.258Z</dcterms:created>
  <dcterms:modified xsi:type="dcterms:W3CDTF">2026-07-13T20:44:05.258Z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