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A8D68">
      <w:pPr>
        <w:rPr>
          <w:rFonts w:hint="eastAsia"/>
        </w:rPr>
      </w:pPr>
      <w:r>
        <w:rPr>
          <w:rFonts w:hint="eastAsia"/>
        </w:rPr>
        <w:t>## 周边图层叠加（养老机构与周围环境互动）功能细化方案</w:t>
      </w:r>
    </w:p>
    <w:p w14:paraId="227F0BC9">
      <w:pPr>
        <w:rPr>
          <w:rFonts w:hint="eastAsia"/>
          <w:color w:val="0000FF"/>
        </w:rPr>
      </w:pPr>
      <w:bookmarkStart w:id="0" w:name="_GoBack"/>
      <w:bookmarkEnd w:id="0"/>
    </w:p>
    <w:p w14:paraId="0EA6C77C">
      <w:pPr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</w:rPr>
        <w:t>**1. 医疗资源分级可达性分析**</w:t>
      </w:r>
    </w:p>
    <w:p w14:paraId="3BB1813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在原有“医疗生命线分析”基础上，将周边医疗机构按</w:t>
      </w:r>
      <w:r>
        <w:rPr>
          <w:rFonts w:hint="eastAsia"/>
          <w:lang w:val="en-US" w:eastAsia="zh-CN"/>
        </w:rPr>
        <w:t>小类</w:t>
      </w:r>
      <w:r>
        <w:rPr>
          <w:rFonts w:hint="eastAsia"/>
        </w:rPr>
        <w:t>分层标注，并分别计算不同等级医疗资源到养老机构的距离与耗时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按照以下小类名称进行查询筛选出对应类别的医院并展示，图层上展示</w:t>
      </w:r>
      <w:r>
        <w:rPr>
          <w:rFonts w:hint="eastAsia"/>
          <w:lang w:eastAsia="zh-CN"/>
        </w:rPr>
        <w:t>）</w:t>
      </w:r>
    </w:p>
    <w:p w14:paraId="5B157CD6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2.根据</w:t>
      </w:r>
      <w:r>
        <w:rPr>
          <w:rFonts w:hint="eastAsia"/>
        </w:rPr>
        <w:t>“15分钟可达三甲医院</w:t>
      </w:r>
      <w:r>
        <w:rPr>
          <w:rFonts w:hint="eastAsia"/>
          <w:lang w:val="en-US" w:eastAsia="zh-CN"/>
        </w:rPr>
        <w:t>与综合医院数目</w:t>
      </w:r>
      <w:r>
        <w:rPr>
          <w:rFonts w:hint="eastAsia"/>
        </w:rPr>
        <w:t>”</w:t>
      </w:r>
      <w:r>
        <w:rPr>
          <w:rFonts w:hint="eastAsia"/>
          <w:lang w:val="en-US" w:eastAsia="zh-CN"/>
        </w:rPr>
        <w:t>生成医疗资源可达性指数字段（将所有机构的指数归一化成0-1之间）</w:t>
      </w:r>
      <w:r>
        <w:rPr>
          <w:rFonts w:hint="eastAsia"/>
        </w:rPr>
        <w:t>。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8"/>
        <w:gridCol w:w="2932"/>
        <w:gridCol w:w="1208"/>
        <w:gridCol w:w="1784"/>
        <w:gridCol w:w="1390"/>
      </w:tblGrid>
      <w:tr w14:paraId="50AAD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0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7B15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序号</w:t>
            </w:r>
          </w:p>
        </w:tc>
        <w:tc>
          <w:tcPr>
            <w:tcW w:w="2932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5C8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小类名称</w:t>
            </w:r>
          </w:p>
        </w:tc>
        <w:tc>
          <w:tcPr>
            <w:tcW w:w="120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410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数量</w:t>
            </w:r>
          </w:p>
        </w:tc>
        <w:tc>
          <w:tcPr>
            <w:tcW w:w="178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24C4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所属中类</w:t>
            </w:r>
          </w:p>
        </w:tc>
        <w:tc>
          <w:tcPr>
            <w:tcW w:w="139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06C1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占比</w:t>
            </w:r>
          </w:p>
        </w:tc>
      </w:tr>
      <w:tr w14:paraId="77CEE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08FAE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293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4E3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口腔医院</w:t>
            </w:r>
          </w:p>
        </w:tc>
        <w:tc>
          <w:tcPr>
            <w:tcW w:w="120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01AA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873</w:t>
            </w:r>
          </w:p>
        </w:tc>
        <w:tc>
          <w:tcPr>
            <w:tcW w:w="178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3446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专科医院</w:t>
            </w:r>
          </w:p>
        </w:tc>
        <w:tc>
          <w:tcPr>
            <w:tcW w:w="139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5F1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31.7%</w:t>
            </w:r>
          </w:p>
        </w:tc>
      </w:tr>
      <w:tr w14:paraId="551F6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10B2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ACC3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卫生院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4871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610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A1FF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综合医院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FA0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22.1%</w:t>
            </w:r>
          </w:p>
        </w:tc>
      </w:tr>
      <w:tr w14:paraId="562BB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2EB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3171E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三级甲等医院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5542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506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6BF73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综合医院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2B2D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18.4%</w:t>
            </w:r>
          </w:p>
        </w:tc>
      </w:tr>
      <w:tr w14:paraId="7D938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74C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5EC3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综合医院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457B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456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3C03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综合医院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F238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16.5%</w:t>
            </w:r>
          </w:p>
        </w:tc>
      </w:tr>
      <w:tr w14:paraId="0FC5E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CB5E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6FD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专科医院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1EC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139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46CF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专科医院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A5ECF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5.0%</w:t>
            </w:r>
          </w:p>
        </w:tc>
      </w:tr>
      <w:tr w14:paraId="0AA05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677B1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CED2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眼科医院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7265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62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3A8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专科医院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682B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2.2%</w:t>
            </w:r>
          </w:p>
        </w:tc>
      </w:tr>
      <w:tr w14:paraId="0952C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A254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7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1C56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骨科医院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4B915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31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0914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专科医院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3D9D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1.1%</w:t>
            </w:r>
          </w:p>
        </w:tc>
      </w:tr>
      <w:tr w14:paraId="2E1F8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5EC4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CA4D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脑科医院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6B9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26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0970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专科医院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C449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0.9%</w:t>
            </w:r>
          </w:p>
        </w:tc>
      </w:tr>
      <w:tr w14:paraId="2CAD1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9B17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9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E14E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妇科医院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093F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15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4C5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专科医院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AFE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0.5%</w:t>
            </w:r>
          </w:p>
        </w:tc>
      </w:tr>
      <w:tr w14:paraId="4F501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6208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10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1CD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胸科医院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44AC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12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8377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专科医院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32C2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0.4%</w:t>
            </w:r>
          </w:p>
        </w:tc>
      </w:tr>
      <w:tr w14:paraId="71BDE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DDFF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11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B50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肿瘤医院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CE0E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11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88D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专科医院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4F7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0.4%</w:t>
            </w:r>
          </w:p>
        </w:tc>
      </w:tr>
      <w:tr w14:paraId="0407C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4350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12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A85A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耳鼻喉医院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E4DEF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80D7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专科医院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3BC1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0.2%</w:t>
            </w:r>
          </w:p>
        </w:tc>
      </w:tr>
      <w:tr w14:paraId="2CCA4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26F0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13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52C14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精神病医院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E887D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10F9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专科医院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829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0.1%</w:t>
            </w:r>
          </w:p>
        </w:tc>
      </w:tr>
      <w:tr w14:paraId="316C5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D697F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14</w:t>
            </w:r>
          </w:p>
        </w:tc>
        <w:tc>
          <w:tcPr>
            <w:tcW w:w="2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1A7B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pacing w:val="6"/>
                <w:kern w:val="0"/>
                <w:sz w:val="16"/>
                <w:szCs w:val="16"/>
                <w:vertAlign w:val="baseline"/>
                <w:lang w:val="en-US" w:eastAsia="zh-CN" w:bidi="ar"/>
              </w:rPr>
              <w:t>传染病医院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03C2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8208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专科医院</w:t>
            </w:r>
          </w:p>
        </w:tc>
        <w:tc>
          <w:tcPr>
            <w:tcW w:w="13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6DC7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right"/>
              <w:textAlignment w:val="top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6"/>
                <w:kern w:val="0"/>
                <w:sz w:val="16"/>
                <w:szCs w:val="16"/>
                <w:lang w:val="en-US" w:eastAsia="zh-CN" w:bidi="ar"/>
              </w:rPr>
              <w:t>0.1%</w:t>
            </w:r>
          </w:p>
        </w:tc>
      </w:tr>
    </w:tbl>
    <w:p w14:paraId="6CD23C4A">
      <w:pPr>
        <w:rPr>
          <w:rFonts w:hint="eastAsia"/>
        </w:rPr>
      </w:pPr>
    </w:p>
    <w:p w14:paraId="44E3A44A">
      <w:pPr>
        <w:rPr>
          <w:rFonts w:hint="eastAsia"/>
        </w:rPr>
      </w:pPr>
    </w:p>
    <w:p w14:paraId="3CC5A7B1">
      <w:pPr>
        <w:rPr>
          <w:rFonts w:hint="eastAsia"/>
          <w:color w:val="0000FF"/>
        </w:rPr>
      </w:pPr>
      <w:r>
        <w:rPr>
          <w:rFonts w:hint="eastAsia"/>
          <w:color w:val="0000FF"/>
        </w:rPr>
        <w:t>**2. 急救响应能力评估**</w:t>
      </w:r>
    </w:p>
    <w:p w14:paraId="4C15CD0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结合路网数据与医疗机构分布，模拟从养老机构呼叫急救到救护车抵达的时间窗口，生成“急救响应热力图”，直观展示各养老机构的紧急医疗救援保障水平。响应时间≤15分钟的区域标记为绿色（高保障），15-30分钟为黄色，&gt;30分钟为红色（低保障），帮助家属评估机构应对突发健康事件的能力。</w:t>
      </w:r>
      <w:r>
        <w:rPr>
          <w:rFonts w:hint="eastAsia"/>
          <w:lang w:val="en-US" w:eastAsia="zh-CN"/>
        </w:rPr>
        <w:t>同时据此生成急救响应能力字段（分类为高保障、中保障、低保障）</w:t>
      </w:r>
    </w:p>
    <w:p w14:paraId="23070450">
      <w:pPr>
        <w:rPr>
          <w:rFonts w:hint="eastAsia"/>
        </w:rPr>
      </w:pPr>
    </w:p>
    <w:p w14:paraId="0DAF5C16">
      <w:pPr>
        <w:rPr>
          <w:rFonts w:hint="eastAsia"/>
        </w:rPr>
      </w:pPr>
    </w:p>
    <w:p w14:paraId="17D0F90E">
      <w:pPr>
        <w:rPr>
          <w:rFonts w:hint="eastAsia"/>
        </w:rPr>
      </w:pPr>
    </w:p>
    <w:p w14:paraId="74BC2376">
      <w:pPr>
        <w:rPr>
          <w:rFonts w:hint="eastAsia"/>
        </w:rPr>
      </w:pPr>
      <w:r>
        <w:rPr>
          <w:rFonts w:hint="eastAsia"/>
        </w:rPr>
        <w:t>### 二、日常生活便利性分析</w:t>
      </w:r>
    </w:p>
    <w:p w14:paraId="05113B51">
      <w:pPr>
        <w:rPr>
          <w:rFonts w:hint="eastAsia"/>
        </w:rPr>
      </w:pPr>
    </w:p>
    <w:p w14:paraId="6F7B7936">
      <w:pPr>
        <w:rPr>
          <w:rFonts w:hint="eastAsia"/>
          <w:color w:val="0000FF"/>
        </w:rPr>
      </w:pPr>
      <w:r>
        <w:rPr>
          <w:rFonts w:hint="eastAsia"/>
          <w:color w:val="0000FF"/>
        </w:rPr>
        <w:t>**4. 15分钟生活圈设施覆盖率评价**</w:t>
      </w:r>
    </w:p>
    <w:p w14:paraId="42E7F7C1">
      <w:pPr>
        <w:rPr>
          <w:rFonts w:hint="eastAsia"/>
        </w:rPr>
      </w:pPr>
      <w:r>
        <w:rPr>
          <w:rFonts w:hint="eastAsia"/>
        </w:rPr>
        <w:t>以“15分钟生活圈”（老年人步行约600米范围）为基本评价单元，综合评估养老机构周边菜市场、超市、药店、银行、社区食堂、理发店等日常生活服务设施的覆盖密度与多样性。生成每个养老机构的“生活便利度指数”</w:t>
      </w:r>
      <w:r>
        <w:rPr>
          <w:rFonts w:hint="eastAsia"/>
          <w:lang w:val="en-US" w:eastAsia="zh-CN"/>
        </w:rPr>
        <w:t>（将所有机构的指数归一化成0-1之间）</w:t>
      </w:r>
      <w:r>
        <w:rPr>
          <w:rFonts w:hint="eastAsia"/>
        </w:rPr>
        <w:t>，直观比较不同机构周边日常生活的便捷程度。</w:t>
      </w:r>
    </w:p>
    <w:p w14:paraId="3F9DAA67"/>
    <w:p w14:paraId="50ACD8A5">
      <w:pPr>
        <w:rPr>
          <w:rFonts w:hint="eastAsia"/>
        </w:rPr>
      </w:pPr>
      <w:r>
        <w:rPr>
          <w:rFonts w:hint="eastAsia"/>
        </w:rPr>
        <w:t>### 三、休闲与生态环境分析</w:t>
      </w:r>
    </w:p>
    <w:p w14:paraId="7B34838C">
      <w:pPr>
        <w:rPr>
          <w:rFonts w:hint="eastAsia"/>
        </w:rPr>
      </w:pPr>
    </w:p>
    <w:p w14:paraId="4F9B0414">
      <w:pPr>
        <w:rPr>
          <w:rFonts w:hint="eastAsia"/>
          <w:color w:val="0000FF"/>
        </w:rPr>
      </w:pPr>
      <w:r>
        <w:rPr>
          <w:rFonts w:hint="eastAsia"/>
          <w:color w:val="0000FF"/>
        </w:rPr>
        <w:t>**7. 公园绿地可达性与品质评估**</w:t>
      </w:r>
    </w:p>
    <w:p w14:paraId="23655216">
      <w:pPr>
        <w:rPr>
          <w:rFonts w:hint="eastAsia"/>
        </w:rPr>
      </w:pPr>
      <w:r>
        <w:rPr>
          <w:rFonts w:hint="eastAsia"/>
        </w:rPr>
        <w:t>在立项书“周边环境图层叠加”基础上深化：不仅标注公园绿地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景点</w:t>
      </w:r>
      <w:r>
        <w:rPr>
          <w:rFonts w:hint="eastAsia"/>
        </w:rPr>
        <w:t>位置，还进一步分析各养老机构到最近公园绿地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景点</w:t>
      </w:r>
      <w:r>
        <w:rPr>
          <w:rFonts w:hint="eastAsia"/>
        </w:rPr>
        <w:t>的步行距离；生成“绿色休闲指数”</w:t>
      </w:r>
      <w:r>
        <w:rPr>
          <w:rFonts w:hint="eastAsia"/>
          <w:lang w:val="en-US" w:eastAsia="zh-CN"/>
        </w:rPr>
        <w:t>（将所有机构的指数归一化成0-1之间）</w:t>
      </w:r>
      <w:r>
        <w:rPr>
          <w:rFonts w:hint="eastAsia"/>
        </w:rPr>
        <w:t>供用户参考。</w:t>
      </w:r>
    </w:p>
    <w:p w14:paraId="44C67308">
      <w:pPr>
        <w:rPr>
          <w:rFonts w:hint="eastAsia"/>
        </w:rPr>
      </w:pPr>
    </w:p>
    <w:p w14:paraId="1055B6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9D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2026-06-24T02:01:18Z</dcterms:created>
  <dc:creator>HP</dc:creator>
  <cp:lastModifiedBy>Y⃠H⃠言辞温和</cp:lastModifiedBy>
  <dcterms:modified xsi:type="dcterms:W3CDTF">2026-06-24T02:01:47Z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eyJoZGlkIjoiMTZiZTBkNzMwZGIwZDQ5ZTRjOGU2MGJkNDVjYjgzMzYiLCJ1c2VySWQiOiIzNjIyNzM1NTcifQ==</vt:lpwstr>
  </property>
  <property fmtid="{D5CDD505-2E9C-101B-9397-08002B2CF9AE}" pid="4" name="ICV">
    <vt:lpwstr>6938B4D177FC4C6AAE70F0776D29A345_12</vt:lpwstr>
  </property>
</Properties>
</file>