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B7B69">
      <w:pPr>
        <w:spacing w:before="1800" w:after="0"/>
        <w:jc w:val="center"/>
      </w:pPr>
      <w:r>
        <w:rPr>
          <w:rFonts w:ascii="黑体" w:hAnsi="黑体" w:eastAsia="黑体" w:cs="黑体"/>
          <w:b/>
          <w:bCs/>
          <w:color w:val="1F4E79"/>
          <w:sz w:val="40"/>
          <w:szCs w:val="40"/>
        </w:rPr>
        <w:t>面向银发经济的养老资源空间适配评估</w:t>
      </w:r>
    </w:p>
    <w:p w14:paraId="70E126A3">
      <w:pPr>
        <w:spacing w:after="600"/>
        <w:jc w:val="center"/>
      </w:pPr>
      <w:r>
        <w:rPr>
          <w:rFonts w:ascii="黑体" w:hAnsi="黑体" w:eastAsia="黑体" w:cs="黑体"/>
          <w:b/>
          <w:bCs/>
          <w:color w:val="1F4E79"/>
          <w:sz w:val="40"/>
          <w:szCs w:val="40"/>
        </w:rPr>
        <w:t>与智慧决策 WebGIS 平台</w:t>
      </w:r>
    </w:p>
    <w:p w14:paraId="311E4E68">
      <w:pPr>
        <w:spacing w:after="1200"/>
        <w:jc w:val="center"/>
      </w:pPr>
      <w:r>
        <w:rPr>
          <w:rFonts w:ascii="黑体" w:hAnsi="黑体" w:eastAsia="黑体" w:cs="黑体"/>
          <w:b/>
          <w:bCs/>
          <w:color w:val="2E75B6"/>
          <w:sz w:val="30"/>
          <w:szCs w:val="30"/>
        </w:rPr>
        <w:t>—— 完整功能模块设计说明书 ——</w:t>
      </w:r>
    </w:p>
    <w:p w14:paraId="307F7014">
      <w:pPr>
        <w:spacing w:after="200"/>
        <w:jc w:val="center"/>
      </w:pPr>
      <w:r>
        <w:rPr>
          <w:sz w:val="24"/>
          <w:szCs w:val="24"/>
        </w:rPr>
        <w:t>项目类型：大学生创新创业训练计划（创新训练项目）</w:t>
      </w:r>
    </w:p>
    <w:p w14:paraId="5B62BA7A">
      <w:pPr>
        <w:spacing w:after="200"/>
        <w:jc w:val="center"/>
      </w:pPr>
      <w:r>
        <w:rPr>
          <w:sz w:val="24"/>
          <w:szCs w:val="24"/>
        </w:rPr>
        <w:t>研究区域：南京市</w:t>
      </w:r>
    </w:p>
    <w:p w14:paraId="640B96E1">
      <w:pPr>
        <w:spacing w:after="200"/>
        <w:jc w:val="center"/>
      </w:pPr>
      <w:r>
        <w:rPr>
          <w:sz w:val="24"/>
          <w:szCs w:val="24"/>
        </w:rPr>
        <w:t>技术架构：B/S 四层架构 · GIS 空间分析 + 大语言模型（LLM）</w:t>
      </w:r>
    </w:p>
    <w:p w14:paraId="0088F799">
      <w:pPr>
        <w:spacing w:before="1400"/>
        <w:jc w:val="center"/>
      </w:pPr>
      <w:r>
        <w:rPr>
          <w:sz w:val="24"/>
          <w:szCs w:val="24"/>
        </w:rPr>
        <w:t>河海大学  地理与遥感学院</w:t>
      </w:r>
    </w:p>
    <w:p w14:paraId="7448EA1A">
      <w:r>
        <w:br w:type="page"/>
      </w:r>
    </w:p>
    <w:p w14:paraId="2E57A948">
      <w:pPr>
        <w:spacing w:after="200"/>
        <w:jc w:val="center"/>
      </w:pPr>
      <w:r>
        <w:rPr>
          <w:rFonts w:ascii="黑体" w:hAnsi="黑体" w:eastAsia="黑体" w:cs="黑体"/>
          <w:b/>
          <w:bCs/>
          <w:color w:val="1F4E79"/>
          <w:sz w:val="32"/>
          <w:szCs w:val="32"/>
        </w:rPr>
        <w:t>目  录</w:t>
      </w:r>
    </w:p>
    <w:sdt>
      <w:sdtPr>
        <w:alias w:val="目录"/>
        <w:id w:val="147470271"/>
      </w:sdtPr>
      <w:sdtContent>
        <w:p w14:paraId="17753FE1">
          <w:r>
            <w:fldChar w:fldCharType="begin"/>
          </w:r>
          <w:r>
            <w:instrText xml:space="preserve">TOC \h \o "1-3"</w:instrText>
          </w:r>
          <w:r>
            <w:fldChar w:fldCharType="separate"/>
          </w:r>
        </w:p>
        <w:p w14:paraId="1BAE6A70">
          <w:r>
            <w:fldChar w:fldCharType="end"/>
          </w:r>
        </w:p>
      </w:sdtContent>
    </w:sdt>
    <w:p w14:paraId="274A0998">
      <w:r>
        <w:br w:type="page"/>
      </w:r>
    </w:p>
    <w:p w14:paraId="1B96B489">
      <w:pPr>
        <w:pStyle w:val="2"/>
      </w:pPr>
      <w:r>
        <w:t>一、系统总体架构与模块划分</w:t>
      </w:r>
    </w:p>
    <w:p w14:paraId="229937B4">
      <w:pPr>
        <w:pStyle w:val="3"/>
      </w:pPr>
      <w:r>
        <w:t>1.1 设计目标</w:t>
      </w:r>
    </w:p>
    <w:p w14:paraId="11012C18">
      <w:pPr>
        <w:spacing w:after="120" w:line="360" w:lineRule="auto"/>
        <w:ind w:firstLine="420"/>
        <w:jc w:val="both"/>
      </w:pPr>
      <w:r>
        <w:t>本平台立足银发经济与人口老龄化背景，针对当前主流养老信息平台“电子黄页化”、缺乏地理空间深度整合的痛点，构建一个集“空间分析—智能评估—精准推荐—社区互动—智慧问答”于一体的养老服务智慧决策 WebGIS 系统。功能模块设计遵循以下三条主线：</w:t>
      </w:r>
    </w:p>
    <w:p w14:paraId="5B011EB9">
      <w:pPr>
        <w:pStyle w:val="16"/>
        <w:numPr>
          <w:ilvl w:val="0"/>
          <w:numId w:val="1"/>
        </w:numPr>
        <w:spacing w:after="60" w:line="340" w:lineRule="auto"/>
        <w:jc w:val="both"/>
      </w:pPr>
      <w:r>
        <w:rPr>
          <w:b/>
          <w:bCs/>
          <w:i w:val="0"/>
          <w:iCs w:val="0"/>
        </w:rPr>
        <w:t>数据空间化：</w:t>
      </w:r>
      <w:r>
        <w:t>将养老机构、医疗资源、生活设施、人口分布等多源要素统一组织进空间数据库，以地图为核心载体进行渲染与交互，让家属可直观感知机构与居住地、医疗、生活配套之间的真实空间阻抗。</w:t>
      </w:r>
    </w:p>
    <w:p w14:paraId="5A9F991B">
      <w:pPr>
        <w:pStyle w:val="16"/>
        <w:numPr>
          <w:ilvl w:val="0"/>
          <w:numId w:val="1"/>
        </w:numPr>
        <w:spacing w:after="60" w:line="340" w:lineRule="auto"/>
        <w:jc w:val="both"/>
      </w:pPr>
      <w:r>
        <w:rPr>
          <w:b/>
          <w:bCs/>
          <w:i w:val="0"/>
          <w:iCs w:val="0"/>
        </w:rPr>
        <w:t>评估科学化：</w:t>
      </w:r>
      <w:r>
        <w:t>将立项书中的“空间可达性、分配均等性、供需适配性、社会正义性”四维测度模型工程化封装为后端服务，输出可被前端调用的量化指标与阈值分级。</w:t>
      </w:r>
    </w:p>
    <w:p w14:paraId="522D0BAC">
      <w:pPr>
        <w:pStyle w:val="16"/>
        <w:numPr>
          <w:ilvl w:val="0"/>
          <w:numId w:val="1"/>
        </w:numPr>
        <w:spacing w:after="60" w:line="340" w:lineRule="auto"/>
        <w:jc w:val="both"/>
      </w:pPr>
      <w:r>
        <w:rPr>
          <w:b/>
          <w:bCs/>
          <w:i w:val="0"/>
          <w:iCs w:val="0"/>
        </w:rPr>
        <w:t>决策智能化：</w:t>
      </w:r>
      <w:r>
        <w:t>以 ADL 量表数字化、多因子加权匹配、RAG 检索增强与大模型 Function Calling 为核心，打造“AI 伴诊助手”，将非结构化自然语言转化为复杂 GIS 空间查询，实现普惠化的精准择址推荐。</w:t>
      </w:r>
    </w:p>
    <w:p w14:paraId="596523D6">
      <w:pPr>
        <w:pStyle w:val="3"/>
      </w:pPr>
      <w:r>
        <w:t>1.2 总体技术架构</w:t>
      </w:r>
    </w:p>
    <w:p w14:paraId="38539782">
      <w:pPr>
        <w:spacing w:after="120" w:line="360" w:lineRule="auto"/>
        <w:ind w:firstLine="420"/>
        <w:jc w:val="both"/>
      </w:pPr>
      <w:r>
        <w:t>系统采用 B/S 模式下的四层架构，自上而下依次为前端展示层、业务逻辑层、GIS 服务层与数据层，各层之间通过 RESTful API 与 OGC 标准服务（WMS/WFS）解耦通信。</w:t>
      </w:r>
    </w:p>
    <w:tbl>
      <w:tblPr>
        <w:tblStyle w:val="1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600"/>
        <w:gridCol w:w="4760"/>
      </w:tblGrid>
      <w:tr w14:paraId="5D29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4EE6AA89">
            <w:pPr>
              <w:spacing w:line="280" w:lineRule="auto"/>
              <w:jc w:val="left"/>
            </w:pPr>
            <w:r>
              <w:rPr>
                <w:b/>
                <w:bCs/>
                <w:color w:val="FFFFFF"/>
                <w:sz w:val="20"/>
                <w:szCs w:val="20"/>
              </w:rPr>
              <w:t>层次</w:t>
            </w:r>
          </w:p>
        </w:tc>
        <w:tc>
          <w:tcPr>
            <w:tcW w:w="26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0E070E2D">
            <w:pPr>
              <w:spacing w:line="280" w:lineRule="auto"/>
              <w:jc w:val="left"/>
            </w:pPr>
            <w:r>
              <w:rPr>
                <w:b/>
                <w:bCs/>
                <w:color w:val="FFFFFF"/>
                <w:sz w:val="20"/>
                <w:szCs w:val="20"/>
              </w:rPr>
              <w:t>核心技术选型</w:t>
            </w:r>
          </w:p>
        </w:tc>
        <w:tc>
          <w:tcPr>
            <w:tcW w:w="47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5616B097">
            <w:pPr>
              <w:spacing w:line="280" w:lineRule="auto"/>
              <w:jc w:val="left"/>
            </w:pPr>
            <w:r>
              <w:rPr>
                <w:b/>
                <w:bCs/>
                <w:color w:val="FFFFFF"/>
                <w:sz w:val="20"/>
                <w:szCs w:val="20"/>
              </w:rPr>
              <w:t>职责说明</w:t>
            </w:r>
          </w:p>
        </w:tc>
      </w:tr>
      <w:tr w14:paraId="695D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6B2AD95">
            <w:pPr>
              <w:spacing w:line="280" w:lineRule="auto"/>
              <w:jc w:val="left"/>
            </w:pPr>
            <w:r>
              <w:rPr>
                <w:b w:val="0"/>
                <w:bCs w:val="0"/>
                <w:color w:val="333333"/>
                <w:sz w:val="20"/>
                <w:szCs w:val="20"/>
              </w:rPr>
              <w:t>前端展示层</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FF1F972">
            <w:pPr>
              <w:spacing w:line="280" w:lineRule="auto"/>
              <w:jc w:val="left"/>
            </w:pPr>
            <w:r>
              <w:rPr>
                <w:b w:val="0"/>
                <w:bCs w:val="0"/>
                <w:color w:val="333333"/>
                <w:sz w:val="20"/>
                <w:szCs w:val="20"/>
              </w:rPr>
              <w:t>Vue.js / React + OpenLayers/Leaflet + ECharts</w:t>
            </w:r>
          </w:p>
        </w:tc>
        <w:tc>
          <w:tcPr>
            <w:tcW w:w="47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7EEF53B">
            <w:pPr>
              <w:spacing w:line="280" w:lineRule="auto"/>
              <w:jc w:val="left"/>
            </w:pPr>
            <w:r>
              <w:rPr>
                <w:b w:val="0"/>
                <w:bCs w:val="0"/>
                <w:color w:val="333333"/>
                <w:sz w:val="20"/>
                <w:szCs w:val="20"/>
              </w:rPr>
              <w:t>用户界面渲染、地图切片加载与要素标绘、图层叠加控制、评价雷达图与数据可视化、AI 对话交互界面与适老化语音输入。</w:t>
            </w:r>
          </w:p>
        </w:tc>
      </w:tr>
      <w:tr w14:paraId="3B0F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DF08246">
            <w:pPr>
              <w:spacing w:line="280" w:lineRule="auto"/>
              <w:jc w:val="left"/>
            </w:pPr>
            <w:r>
              <w:rPr>
                <w:b w:val="0"/>
                <w:bCs w:val="0"/>
                <w:color w:val="333333"/>
                <w:sz w:val="20"/>
                <w:szCs w:val="20"/>
              </w:rPr>
              <w:t>业务逻辑层（后端）</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3A199C4">
            <w:pPr>
              <w:spacing w:line="280" w:lineRule="auto"/>
              <w:jc w:val="left"/>
            </w:pPr>
            <w:r>
              <w:rPr>
                <w:b w:val="0"/>
                <w:bCs w:val="0"/>
                <w:color w:val="333333"/>
                <w:sz w:val="20"/>
                <w:szCs w:val="20"/>
              </w:rPr>
              <w:t>Spring Boot + Python(FastAPI / Django)</w:t>
            </w:r>
          </w:p>
        </w:tc>
        <w:tc>
          <w:tcPr>
            <w:tcW w:w="47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17E261F">
            <w:pPr>
              <w:spacing w:line="280" w:lineRule="auto"/>
              <w:jc w:val="left"/>
            </w:pPr>
            <w:r>
              <w:rPr>
                <w:b w:val="0"/>
                <w:bCs w:val="0"/>
                <w:color w:val="333333"/>
                <w:sz w:val="20"/>
                <w:szCs w:val="20"/>
              </w:rPr>
              <w:t>用户画像匹配、问卷评分测算、评价体系管理、多因子加权匹配算法、RBAC 鉴权；AI 相关推理服务由 Python 侧承载。</w:t>
            </w:r>
          </w:p>
        </w:tc>
      </w:tr>
      <w:tr w14:paraId="7C36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4A24C89">
            <w:pPr>
              <w:spacing w:line="280" w:lineRule="auto"/>
              <w:jc w:val="left"/>
            </w:pPr>
            <w:r>
              <w:rPr>
                <w:b w:val="0"/>
                <w:bCs w:val="0"/>
                <w:color w:val="333333"/>
                <w:sz w:val="20"/>
                <w:szCs w:val="20"/>
              </w:rPr>
              <w:t>GIS 服务层</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88ED412">
            <w:pPr>
              <w:spacing w:line="280" w:lineRule="auto"/>
              <w:jc w:val="left"/>
            </w:pPr>
            <w:r>
              <w:rPr>
                <w:b w:val="0"/>
                <w:bCs w:val="0"/>
                <w:color w:val="333333"/>
                <w:sz w:val="20"/>
                <w:szCs w:val="20"/>
              </w:rPr>
              <w:t>GeoServer + pgRouting</w:t>
            </w:r>
          </w:p>
        </w:tc>
        <w:tc>
          <w:tcPr>
            <w:tcW w:w="47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CEA4A60">
            <w:pPr>
              <w:spacing w:line="280" w:lineRule="auto"/>
              <w:jc w:val="left"/>
            </w:pPr>
            <w:r>
              <w:rPr>
                <w:b w:val="0"/>
                <w:bCs w:val="0"/>
                <w:color w:val="333333"/>
                <w:sz w:val="20"/>
                <w:szCs w:val="20"/>
              </w:rPr>
              <w:t>发布底图、机构点、医疗点、POI 等为 WMS/WFS 服务；承担路网路径计算与等时圈生成。</w:t>
            </w:r>
          </w:p>
        </w:tc>
      </w:tr>
      <w:tr w14:paraId="2D33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4C58377">
            <w:pPr>
              <w:spacing w:line="280" w:lineRule="auto"/>
              <w:jc w:val="left"/>
            </w:pPr>
            <w:r>
              <w:rPr>
                <w:b w:val="0"/>
                <w:bCs w:val="0"/>
                <w:color w:val="333333"/>
                <w:sz w:val="20"/>
                <w:szCs w:val="20"/>
              </w:rPr>
              <w:t>数据层</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3F9CEE4">
            <w:pPr>
              <w:spacing w:line="280" w:lineRule="auto"/>
              <w:jc w:val="left"/>
            </w:pPr>
            <w:r>
              <w:rPr>
                <w:b w:val="0"/>
                <w:bCs w:val="0"/>
                <w:color w:val="333333"/>
                <w:sz w:val="20"/>
                <w:szCs w:val="20"/>
              </w:rPr>
              <w:t>PostgreSQL + PostGIS + pgvector</w:t>
            </w:r>
          </w:p>
        </w:tc>
        <w:tc>
          <w:tcPr>
            <w:tcW w:w="47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05B564A">
            <w:pPr>
              <w:spacing w:line="280" w:lineRule="auto"/>
              <w:jc w:val="left"/>
            </w:pPr>
            <w:r>
              <w:rPr>
                <w:b w:val="0"/>
                <w:bCs w:val="0"/>
                <w:color w:val="333333"/>
                <w:sz w:val="20"/>
                <w:szCs w:val="20"/>
              </w:rPr>
              <w:t>业务数据与空间数据一体化存储；PostGIS 支撑空间拓扑运算，pgvector 支撑 RAG 私有知识库的向量检索。</w:t>
            </w:r>
          </w:p>
        </w:tc>
      </w:tr>
    </w:tbl>
    <w:p w14:paraId="4B0F0C31">
      <w:pPr>
        <w:pStyle w:val="3"/>
      </w:pPr>
      <w:r>
        <w:t>1.3 功能模块总览</w:t>
      </w:r>
    </w:p>
    <w:p w14:paraId="7EA7DFE2">
      <w:pPr>
        <w:spacing w:after="120" w:line="360" w:lineRule="auto"/>
        <w:ind w:firstLine="420"/>
        <w:jc w:val="both"/>
      </w:pPr>
      <w:r>
        <w:t>平台共划分为六大功能模块，覆盖“客户—机构—管理员”三类角色的完整业务流。各模块定位与对应立项书技术路线章节如下表：</w:t>
      </w:r>
    </w:p>
    <w:tbl>
      <w:tblPr>
        <w:tblStyle w:val="11"/>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700"/>
        <w:gridCol w:w="4060"/>
        <w:gridCol w:w="1400"/>
      </w:tblGrid>
      <w:tr w14:paraId="264E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30B575FA">
            <w:pPr>
              <w:spacing w:line="280" w:lineRule="auto"/>
              <w:jc w:val="left"/>
            </w:pPr>
            <w:r>
              <w:rPr>
                <w:b/>
                <w:bCs/>
                <w:color w:val="FFFFFF"/>
                <w:sz w:val="20"/>
                <w:szCs w:val="20"/>
              </w:rPr>
              <w:t>编号</w:t>
            </w:r>
          </w:p>
        </w:tc>
        <w:tc>
          <w:tcPr>
            <w:tcW w:w="27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056D571E">
            <w:pPr>
              <w:spacing w:line="280" w:lineRule="auto"/>
              <w:jc w:val="left"/>
            </w:pPr>
            <w:r>
              <w:rPr>
                <w:b/>
                <w:bCs/>
                <w:color w:val="FFFFFF"/>
                <w:sz w:val="20"/>
                <w:szCs w:val="20"/>
              </w:rPr>
              <w:t>模块名称</w:t>
            </w:r>
          </w:p>
        </w:tc>
        <w:tc>
          <w:tcPr>
            <w:tcW w:w="40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561DCFFB">
            <w:pPr>
              <w:spacing w:line="280" w:lineRule="auto"/>
              <w:jc w:val="left"/>
            </w:pPr>
            <w:r>
              <w:rPr>
                <w:b/>
                <w:bCs/>
                <w:color w:val="FFFFFF"/>
                <w:sz w:val="20"/>
                <w:szCs w:val="20"/>
              </w:rPr>
              <w:t>核心定位</w:t>
            </w:r>
          </w:p>
        </w:tc>
        <w:tc>
          <w:tcPr>
            <w:tcW w:w="14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4751B53">
            <w:pPr>
              <w:spacing w:line="280" w:lineRule="auto"/>
              <w:jc w:val="left"/>
            </w:pPr>
            <w:r>
              <w:rPr>
                <w:b/>
                <w:bCs/>
                <w:color w:val="FFFFFF"/>
                <w:sz w:val="20"/>
                <w:szCs w:val="20"/>
              </w:rPr>
              <w:t>主要使用角色</w:t>
            </w:r>
          </w:p>
        </w:tc>
      </w:tr>
      <w:tr w14:paraId="1064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F3DF367">
            <w:pPr>
              <w:spacing w:line="280" w:lineRule="auto"/>
              <w:jc w:val="center"/>
            </w:pPr>
            <w:r>
              <w:rPr>
                <w:b w:val="0"/>
                <w:bCs w:val="0"/>
                <w:color w:val="333333"/>
                <w:sz w:val="20"/>
                <w:szCs w:val="20"/>
              </w:rPr>
              <w:t>M1</w:t>
            </w:r>
          </w:p>
        </w:tc>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E878851">
            <w:pPr>
              <w:spacing w:line="280" w:lineRule="auto"/>
              <w:jc w:val="left"/>
            </w:pPr>
            <w:r>
              <w:rPr>
                <w:b w:val="0"/>
                <w:bCs w:val="0"/>
                <w:color w:val="333333"/>
                <w:sz w:val="20"/>
                <w:szCs w:val="20"/>
              </w:rPr>
              <w:t>多角色用户管理与权限访问控制模块（RBAC）</w:t>
            </w:r>
          </w:p>
        </w:tc>
        <w:tc>
          <w:tcPr>
            <w:tcW w:w="40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B012347">
            <w:pPr>
              <w:spacing w:line="280" w:lineRule="auto"/>
              <w:jc w:val="left"/>
            </w:pPr>
            <w:r>
              <w:rPr>
                <w:b w:val="0"/>
                <w:bCs w:val="0"/>
                <w:color w:val="333333"/>
                <w:sz w:val="20"/>
                <w:szCs w:val="20"/>
              </w:rPr>
              <w:t>三层身份隔离、接口鉴权、个人养老档案与机构 SaaS 工作台、总后台运营风控。</w:t>
            </w:r>
          </w:p>
        </w:tc>
        <w:tc>
          <w:tcPr>
            <w:tcW w:w="1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2CBD8C5">
            <w:pPr>
              <w:spacing w:line="280" w:lineRule="auto"/>
              <w:jc w:val="left"/>
            </w:pPr>
            <w:r>
              <w:rPr>
                <w:b w:val="0"/>
                <w:bCs w:val="0"/>
                <w:color w:val="333333"/>
                <w:sz w:val="20"/>
                <w:szCs w:val="20"/>
              </w:rPr>
              <w:t>全部角色</w:t>
            </w:r>
          </w:p>
        </w:tc>
      </w:tr>
      <w:tr w14:paraId="3DAD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CF60DF6">
            <w:pPr>
              <w:spacing w:line="280" w:lineRule="auto"/>
              <w:jc w:val="center"/>
            </w:pPr>
            <w:r>
              <w:rPr>
                <w:b w:val="0"/>
                <w:bCs w:val="0"/>
                <w:color w:val="333333"/>
                <w:sz w:val="20"/>
                <w:szCs w:val="20"/>
              </w:rPr>
              <w:t>M2</w:t>
            </w:r>
          </w:p>
        </w:tc>
        <w:tc>
          <w:tcPr>
            <w:tcW w:w="27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887CFA9">
            <w:pPr>
              <w:spacing w:line="280" w:lineRule="auto"/>
              <w:jc w:val="left"/>
            </w:pPr>
            <w:r>
              <w:rPr>
                <w:b w:val="0"/>
                <w:bCs w:val="0"/>
                <w:color w:val="333333"/>
                <w:sz w:val="20"/>
                <w:szCs w:val="20"/>
              </w:rPr>
              <w:t>GIS 空间分析与决策模块</w:t>
            </w:r>
          </w:p>
        </w:tc>
        <w:tc>
          <w:tcPr>
            <w:tcW w:w="40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A5E4340">
            <w:pPr>
              <w:spacing w:line="280" w:lineRule="auto"/>
              <w:jc w:val="left"/>
            </w:pPr>
            <w:r>
              <w:rPr>
                <w:b w:val="0"/>
                <w:bCs w:val="0"/>
                <w:color w:val="333333"/>
                <w:sz w:val="20"/>
                <w:szCs w:val="20"/>
              </w:rPr>
              <w:t>等时圈测算、医疗生命线分析、周边环境图层叠加，输出多项空间指数。</w:t>
            </w:r>
          </w:p>
        </w:tc>
        <w:tc>
          <w:tcPr>
            <w:tcW w:w="1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5A943CD">
            <w:pPr>
              <w:spacing w:line="280" w:lineRule="auto"/>
              <w:jc w:val="left"/>
            </w:pPr>
            <w:r>
              <w:rPr>
                <w:b w:val="0"/>
                <w:bCs w:val="0"/>
                <w:color w:val="333333"/>
                <w:sz w:val="20"/>
                <w:szCs w:val="20"/>
              </w:rPr>
              <w:t>客户 / 机构</w:t>
            </w:r>
          </w:p>
        </w:tc>
      </w:tr>
      <w:tr w14:paraId="2D4F9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0E7AFBB">
            <w:pPr>
              <w:spacing w:line="280" w:lineRule="auto"/>
              <w:jc w:val="center"/>
            </w:pPr>
            <w:r>
              <w:rPr>
                <w:b w:val="0"/>
                <w:bCs w:val="0"/>
                <w:color w:val="333333"/>
                <w:sz w:val="20"/>
                <w:szCs w:val="20"/>
              </w:rPr>
              <w:t>M3</w:t>
            </w:r>
          </w:p>
        </w:tc>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419CE25">
            <w:pPr>
              <w:spacing w:line="280" w:lineRule="auto"/>
              <w:jc w:val="left"/>
            </w:pPr>
            <w:r>
              <w:rPr>
                <w:b w:val="0"/>
                <w:bCs w:val="0"/>
                <w:color w:val="333333"/>
                <w:sz w:val="20"/>
                <w:szCs w:val="20"/>
              </w:rPr>
              <w:t>养老资源空间适配评估模块（四维模型）</w:t>
            </w:r>
          </w:p>
        </w:tc>
        <w:tc>
          <w:tcPr>
            <w:tcW w:w="40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8FB3736">
            <w:pPr>
              <w:spacing w:line="280" w:lineRule="auto"/>
              <w:jc w:val="left"/>
            </w:pPr>
            <w:r>
              <w:rPr>
                <w:b w:val="0"/>
                <w:bCs w:val="0"/>
                <w:color w:val="333333"/>
                <w:sz w:val="20"/>
                <w:szCs w:val="20"/>
              </w:rPr>
              <w:t>将四维测度模型工程化为后端评价服务，支撑政府辅助规划与盲区诊断。</w:t>
            </w:r>
          </w:p>
        </w:tc>
        <w:tc>
          <w:tcPr>
            <w:tcW w:w="1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E19E836">
            <w:pPr>
              <w:spacing w:line="280" w:lineRule="auto"/>
              <w:jc w:val="left"/>
            </w:pPr>
            <w:r>
              <w:rPr>
                <w:b w:val="0"/>
                <w:bCs w:val="0"/>
                <w:color w:val="333333"/>
                <w:sz w:val="20"/>
                <w:szCs w:val="20"/>
              </w:rPr>
              <w:t>管理员 / 政府</w:t>
            </w:r>
          </w:p>
        </w:tc>
      </w:tr>
      <w:tr w14:paraId="335E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4EB4053">
            <w:pPr>
              <w:spacing w:line="280" w:lineRule="auto"/>
              <w:jc w:val="center"/>
            </w:pPr>
            <w:r>
              <w:rPr>
                <w:b w:val="0"/>
                <w:bCs w:val="0"/>
                <w:color w:val="333333"/>
                <w:sz w:val="20"/>
                <w:szCs w:val="20"/>
              </w:rPr>
              <w:t>M4</w:t>
            </w:r>
          </w:p>
        </w:tc>
        <w:tc>
          <w:tcPr>
            <w:tcW w:w="27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85827F0">
            <w:pPr>
              <w:spacing w:line="280" w:lineRule="auto"/>
              <w:jc w:val="left"/>
            </w:pPr>
            <w:r>
              <w:rPr>
                <w:b w:val="0"/>
                <w:bCs w:val="0"/>
                <w:color w:val="333333"/>
                <w:sz w:val="20"/>
                <w:szCs w:val="20"/>
              </w:rPr>
              <w:t>智能推荐与精准匹配模块</w:t>
            </w:r>
          </w:p>
        </w:tc>
        <w:tc>
          <w:tcPr>
            <w:tcW w:w="40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C837513">
            <w:pPr>
              <w:spacing w:line="280" w:lineRule="auto"/>
              <w:jc w:val="left"/>
            </w:pPr>
            <w:r>
              <w:rPr>
                <w:b w:val="0"/>
                <w:bCs w:val="0"/>
                <w:color w:val="333333"/>
                <w:sz w:val="20"/>
                <w:szCs w:val="20"/>
              </w:rPr>
              <w:t>ADL 量表数字化、AHP 多因子加权、排序推荐与连访路线规划。</w:t>
            </w:r>
          </w:p>
        </w:tc>
        <w:tc>
          <w:tcPr>
            <w:tcW w:w="1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9538458">
            <w:pPr>
              <w:spacing w:line="280" w:lineRule="auto"/>
              <w:jc w:val="left"/>
            </w:pPr>
            <w:r>
              <w:rPr>
                <w:b w:val="0"/>
                <w:bCs w:val="0"/>
                <w:color w:val="333333"/>
                <w:sz w:val="20"/>
                <w:szCs w:val="20"/>
              </w:rPr>
              <w:t>客户</w:t>
            </w:r>
          </w:p>
        </w:tc>
      </w:tr>
      <w:tr w14:paraId="63FC8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8737C19">
            <w:pPr>
              <w:spacing w:line="280" w:lineRule="auto"/>
              <w:jc w:val="center"/>
            </w:pPr>
            <w:r>
              <w:rPr>
                <w:b w:val="0"/>
                <w:bCs w:val="0"/>
                <w:color w:val="333333"/>
                <w:sz w:val="20"/>
                <w:szCs w:val="20"/>
              </w:rPr>
              <w:t>M5</w:t>
            </w:r>
          </w:p>
        </w:tc>
        <w:tc>
          <w:tcPr>
            <w:tcW w:w="27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9A09839">
            <w:pPr>
              <w:spacing w:line="280" w:lineRule="auto"/>
              <w:jc w:val="left"/>
            </w:pPr>
            <w:r>
              <w:rPr>
                <w:b w:val="0"/>
                <w:bCs w:val="0"/>
                <w:color w:val="333333"/>
                <w:sz w:val="20"/>
                <w:szCs w:val="20"/>
              </w:rPr>
              <w:t>真实评价与内容社区模块（UGC）</w:t>
            </w:r>
          </w:p>
        </w:tc>
        <w:tc>
          <w:tcPr>
            <w:tcW w:w="40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68861DF">
            <w:pPr>
              <w:spacing w:line="280" w:lineRule="auto"/>
              <w:jc w:val="left"/>
            </w:pPr>
            <w:r>
              <w:rPr>
                <w:b w:val="0"/>
                <w:bCs w:val="0"/>
                <w:color w:val="333333"/>
                <w:sz w:val="20"/>
                <w:szCs w:val="20"/>
              </w:rPr>
              <w:t>多维评价雷达图、护理科普论坛、敏感词风控。</w:t>
            </w:r>
          </w:p>
        </w:tc>
        <w:tc>
          <w:tcPr>
            <w:tcW w:w="1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FEE4360">
            <w:pPr>
              <w:spacing w:line="280" w:lineRule="auto"/>
              <w:jc w:val="left"/>
            </w:pPr>
            <w:r>
              <w:rPr>
                <w:b w:val="0"/>
                <w:bCs w:val="0"/>
                <w:color w:val="333333"/>
                <w:sz w:val="20"/>
                <w:szCs w:val="20"/>
              </w:rPr>
              <w:t>客户 / 机构 / 管理员</w:t>
            </w:r>
          </w:p>
        </w:tc>
      </w:tr>
      <w:tr w14:paraId="56633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C46A038">
            <w:pPr>
              <w:spacing w:line="280" w:lineRule="auto"/>
              <w:jc w:val="center"/>
            </w:pPr>
            <w:r>
              <w:rPr>
                <w:b w:val="0"/>
                <w:bCs w:val="0"/>
                <w:color w:val="333333"/>
                <w:sz w:val="20"/>
                <w:szCs w:val="20"/>
              </w:rPr>
              <w:t>M6</w:t>
            </w:r>
          </w:p>
        </w:tc>
        <w:tc>
          <w:tcPr>
            <w:tcW w:w="27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FE940A2">
            <w:pPr>
              <w:spacing w:line="280" w:lineRule="auto"/>
              <w:jc w:val="left"/>
            </w:pPr>
            <w:r>
              <w:rPr>
                <w:b w:val="0"/>
                <w:bCs w:val="0"/>
                <w:color w:val="333333"/>
                <w:sz w:val="20"/>
                <w:szCs w:val="20"/>
              </w:rPr>
              <w:t>AI 伴诊助手（LLM 对话式交互推荐模块）</w:t>
            </w:r>
          </w:p>
        </w:tc>
        <w:tc>
          <w:tcPr>
            <w:tcW w:w="40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78382DE">
            <w:pPr>
              <w:spacing w:line="280" w:lineRule="auto"/>
              <w:jc w:val="left"/>
            </w:pPr>
            <w:r>
              <w:rPr>
                <w:b w:val="0"/>
                <w:bCs w:val="0"/>
                <w:color w:val="333333"/>
                <w:sz w:val="20"/>
                <w:szCs w:val="20"/>
              </w:rPr>
              <w:t>自然语言需求解析、RAG 私有知识库、Function Calling 调度 GIS 算法。</w:t>
            </w:r>
          </w:p>
        </w:tc>
        <w:tc>
          <w:tcPr>
            <w:tcW w:w="1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A76647C">
            <w:pPr>
              <w:spacing w:line="280" w:lineRule="auto"/>
              <w:jc w:val="left"/>
            </w:pPr>
            <w:r>
              <w:rPr>
                <w:b w:val="0"/>
                <w:bCs w:val="0"/>
                <w:color w:val="333333"/>
                <w:sz w:val="20"/>
                <w:szCs w:val="20"/>
              </w:rPr>
              <w:t>客户</w:t>
            </w:r>
          </w:p>
        </w:tc>
      </w:tr>
    </w:tbl>
    <w:p w14:paraId="6F2F4E56">
      <w:pPr>
        <w:spacing w:after="120" w:line="360" w:lineRule="auto"/>
        <w:ind w:firstLine="420"/>
        <w:jc w:val="both"/>
      </w:pPr>
      <w:r>
        <w:t>以下各章逐一展开六大模块的功能细化设计、技术实现要点与输出字段。</w:t>
      </w:r>
    </w:p>
    <w:p w14:paraId="644141B1">
      <w:r>
        <w:br w:type="page"/>
      </w:r>
    </w:p>
    <w:p w14:paraId="4FF908D6">
      <w:pPr>
        <w:pStyle w:val="2"/>
      </w:pPr>
      <w:r>
        <w:t>二、多角色用户管理与权限访问控制模块（M1·RBAC）</w:t>
      </w:r>
    </w:p>
    <w:p w14:paraId="69AE2ABA">
      <w:pPr>
        <w:spacing w:after="120" w:line="360" w:lineRule="auto"/>
        <w:ind w:firstLine="420"/>
        <w:jc w:val="both"/>
      </w:pPr>
      <w:r>
        <w:t>本模块是平台的基座，承担身份认证、权限隔离与三类角色各自的业务工作流，确保跨角色数据访问的安全边界。</w:t>
      </w:r>
    </w:p>
    <w:p w14:paraId="5D539D2C">
      <w:pPr>
        <w:pStyle w:val="3"/>
      </w:pPr>
      <w:r>
        <w:t>2.1 多角色统一认证与 RBAC 权限模型</w:t>
      </w:r>
    </w:p>
    <w:p w14:paraId="7B5E64CE">
      <w:pPr>
        <w:spacing w:before="80" w:after="120" w:line="360" w:lineRule="auto"/>
        <w:ind w:firstLine="420"/>
        <w:jc w:val="both"/>
      </w:pPr>
      <w:r>
        <w:rPr>
          <w:b/>
          <w:bCs/>
          <w:color w:val="1F4E79"/>
        </w:rPr>
        <w:t>身份体系：</w:t>
      </w:r>
      <w:r>
        <w:t>平台设置“客户、机构、管理员”三类基础角色，采用基于角色的访问控制（RBAC）模型，将“用户—角色—权限—接口”进行解耦映射。后端使用 Spring Security 结合 JWT 协议实现无状态鉴权，每个请求携带 Token，由网关统一校验角色与接口访问权限。</w:t>
      </w:r>
    </w:p>
    <w:p w14:paraId="00044FDE">
      <w:pPr>
        <w:spacing w:before="80" w:after="120" w:line="360" w:lineRule="auto"/>
        <w:ind w:firstLine="420"/>
        <w:jc w:val="both"/>
      </w:pPr>
      <w:r>
        <w:rPr>
          <w:b/>
          <w:bCs/>
          <w:color w:val="1F4E79"/>
        </w:rPr>
        <w:t>登录方式：</w:t>
      </w:r>
      <w:r>
        <w:t>客户侧支持手机号验证码、第三方（微信/支付宝）快捷授权等多端登录；机构与管理员侧采用账号密码 + 二次校验登录。登录态通过 JWT 维持，敏感操作触发重新鉴权。</w:t>
      </w:r>
    </w:p>
    <w:p w14:paraId="7724159F">
      <w:pPr>
        <w:spacing w:after="120" w:line="360" w:lineRule="auto"/>
        <w:ind w:firstLine="420"/>
        <w:jc w:val="both"/>
      </w:pPr>
      <w:r>
        <w:t>三类角色的权限边界如下表所示：</w:t>
      </w:r>
    </w:p>
    <w:tbl>
      <w:tblPr>
        <w:tblStyle w:val="11"/>
        <w:tblW w:w="8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760"/>
        <w:gridCol w:w="3400"/>
      </w:tblGrid>
      <w:tr w14:paraId="7F5A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782BFE0">
            <w:pPr>
              <w:spacing w:line="280" w:lineRule="auto"/>
              <w:jc w:val="left"/>
            </w:pPr>
            <w:r>
              <w:rPr>
                <w:b/>
                <w:bCs/>
                <w:color w:val="FFFFFF"/>
                <w:sz w:val="20"/>
                <w:szCs w:val="20"/>
              </w:rPr>
              <w:t>角色</w:t>
            </w:r>
          </w:p>
        </w:tc>
        <w:tc>
          <w:tcPr>
            <w:tcW w:w="37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2A338AF4">
            <w:pPr>
              <w:spacing w:line="280" w:lineRule="auto"/>
              <w:jc w:val="left"/>
            </w:pPr>
            <w:r>
              <w:rPr>
                <w:b/>
                <w:bCs/>
                <w:color w:val="FFFFFF"/>
                <w:sz w:val="20"/>
                <w:szCs w:val="20"/>
              </w:rPr>
              <w:t>可访问功能</w:t>
            </w:r>
          </w:p>
        </w:tc>
        <w:tc>
          <w:tcPr>
            <w:tcW w:w="34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D262E1E">
            <w:pPr>
              <w:spacing w:line="280" w:lineRule="auto"/>
              <w:jc w:val="left"/>
            </w:pPr>
            <w:r>
              <w:rPr>
                <w:b/>
                <w:bCs/>
                <w:color w:val="FFFFFF"/>
                <w:sz w:val="20"/>
                <w:szCs w:val="20"/>
              </w:rPr>
              <w:t>数据权限范围</w:t>
            </w:r>
          </w:p>
        </w:tc>
      </w:tr>
      <w:tr w14:paraId="1B0B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123640B">
            <w:pPr>
              <w:spacing w:line="280" w:lineRule="auto"/>
              <w:jc w:val="left"/>
            </w:pPr>
            <w:r>
              <w:rPr>
                <w:b w:val="0"/>
                <w:bCs w:val="0"/>
                <w:color w:val="333333"/>
                <w:sz w:val="20"/>
                <w:szCs w:val="20"/>
              </w:rPr>
              <w:t>客户（家属/老人）</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E5A65E6">
            <w:pPr>
              <w:spacing w:line="280" w:lineRule="auto"/>
              <w:jc w:val="left"/>
            </w:pPr>
            <w:r>
              <w:rPr>
                <w:b w:val="0"/>
                <w:bCs w:val="0"/>
                <w:color w:val="333333"/>
                <w:sz w:val="20"/>
                <w:szCs w:val="20"/>
              </w:rPr>
              <w:t>地图浏览、空间分析、智能问卷、推荐列表、AI 伴诊、发表评价与社区互动、个人养老档案管理。</w:t>
            </w:r>
          </w:p>
        </w:tc>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28FBBF6">
            <w:pPr>
              <w:spacing w:line="280" w:lineRule="auto"/>
              <w:jc w:val="left"/>
            </w:pPr>
            <w:r>
              <w:rPr>
                <w:b w:val="0"/>
                <w:bCs w:val="0"/>
                <w:color w:val="333333"/>
                <w:sz w:val="20"/>
                <w:szCs w:val="20"/>
              </w:rPr>
              <w:t>仅可读写本人档案与本人发布的 UGC 内容；机构数据只读。</w:t>
            </w:r>
          </w:p>
        </w:tc>
      </w:tr>
      <w:tr w14:paraId="64B1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9F458F3">
            <w:pPr>
              <w:spacing w:line="280" w:lineRule="auto"/>
              <w:jc w:val="left"/>
            </w:pPr>
            <w:r>
              <w:rPr>
                <w:b w:val="0"/>
                <w:bCs w:val="0"/>
                <w:color w:val="333333"/>
                <w:sz w:val="20"/>
                <w:szCs w:val="20"/>
              </w:rPr>
              <w:t>机构（养老院）</w:t>
            </w:r>
          </w:p>
        </w:tc>
        <w:tc>
          <w:tcPr>
            <w:tcW w:w="37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D1E0FA1">
            <w:pPr>
              <w:spacing w:line="280" w:lineRule="auto"/>
              <w:jc w:val="left"/>
            </w:pPr>
            <w:r>
              <w:rPr>
                <w:b w:val="0"/>
                <w:bCs w:val="0"/>
                <w:color w:val="333333"/>
                <w:sz w:val="20"/>
                <w:szCs w:val="20"/>
              </w:rPr>
              <w:t>SaaS 工作台：床位/价格/实景维护、资质上传、回复评价、查看本机构画像与到访统计。</w:t>
            </w:r>
          </w:p>
        </w:tc>
        <w:tc>
          <w:tcPr>
            <w:tcW w:w="3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ACE1A3C">
            <w:pPr>
              <w:spacing w:line="280" w:lineRule="auto"/>
              <w:jc w:val="left"/>
            </w:pPr>
            <w:r>
              <w:rPr>
                <w:b w:val="0"/>
                <w:bCs w:val="0"/>
                <w:color w:val="333333"/>
                <w:sz w:val="20"/>
                <w:szCs w:val="20"/>
              </w:rPr>
              <w:t>仅可读写本机构档案；不可见其他机构后台数据与客户隐私信息。</w:t>
            </w:r>
          </w:p>
        </w:tc>
      </w:tr>
      <w:tr w14:paraId="53AF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D0B6791">
            <w:pPr>
              <w:spacing w:line="280" w:lineRule="auto"/>
              <w:jc w:val="left"/>
            </w:pPr>
            <w:r>
              <w:rPr>
                <w:b w:val="0"/>
                <w:bCs w:val="0"/>
                <w:color w:val="333333"/>
                <w:sz w:val="20"/>
                <w:szCs w:val="20"/>
              </w:rPr>
              <w:t>管理员（平台方）</w:t>
            </w:r>
          </w:p>
        </w:tc>
        <w:tc>
          <w:tcPr>
            <w:tcW w:w="37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553ED41">
            <w:pPr>
              <w:spacing w:line="280" w:lineRule="auto"/>
              <w:jc w:val="left"/>
            </w:pPr>
            <w:r>
              <w:rPr>
                <w:b w:val="0"/>
                <w:bCs w:val="0"/>
                <w:color w:val="333333"/>
                <w:sz w:val="20"/>
                <w:szCs w:val="20"/>
              </w:rPr>
              <w:t>入驻审批、资质审核、数据治理、UGC 内容风控、四维评估后端调度、全局运营看板。</w:t>
            </w:r>
          </w:p>
        </w:tc>
        <w:tc>
          <w:tcPr>
            <w:tcW w:w="3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1E4FAC8">
            <w:pPr>
              <w:spacing w:line="280" w:lineRule="auto"/>
              <w:jc w:val="left"/>
            </w:pPr>
            <w:r>
              <w:rPr>
                <w:b w:val="0"/>
                <w:bCs w:val="0"/>
                <w:color w:val="333333"/>
                <w:sz w:val="20"/>
                <w:szCs w:val="20"/>
              </w:rPr>
              <w:t>拥有全局数据管辖权，可对机构与内容执行状态机流转。</w:t>
            </w:r>
          </w:p>
        </w:tc>
      </w:tr>
    </w:tbl>
    <w:p w14:paraId="4386A8C6">
      <w:pPr>
        <w:pStyle w:val="3"/>
      </w:pPr>
      <w:r>
        <w:t>2.2 客户端工作台（个人养老档案管理）</w:t>
      </w:r>
    </w:p>
    <w:p w14:paraId="0E30669F">
      <w:pPr>
        <w:spacing w:after="120" w:line="360" w:lineRule="auto"/>
        <w:ind w:firstLine="420"/>
        <w:jc w:val="both"/>
      </w:pPr>
      <w:r>
        <w:t>客户工作台是面向家属与老年人的个人中心，核心是“一人一档”的养老档案，为后续智能匹配与 AI 伴诊提供结构化画像输入。</w:t>
      </w:r>
    </w:p>
    <w:p w14:paraId="1999DD3D">
      <w:pPr>
        <w:pStyle w:val="16"/>
        <w:numPr>
          <w:ilvl w:val="0"/>
          <w:numId w:val="1"/>
        </w:numPr>
        <w:spacing w:after="60" w:line="340" w:lineRule="auto"/>
        <w:jc w:val="both"/>
      </w:pPr>
      <w:r>
        <w:rPr>
          <w:b/>
          <w:bCs/>
          <w:i w:val="0"/>
          <w:iCs w:val="0"/>
        </w:rPr>
        <w:t>家庭与居住信息：</w:t>
      </w:r>
      <w:r>
        <w:t>登记家庭常住地址（自动地理编码为经纬度坐标，作为可达性分析的起算原点）、子女通勤起点、期望择址范围。</w:t>
      </w:r>
    </w:p>
    <w:p w14:paraId="685E6733">
      <w:pPr>
        <w:pStyle w:val="16"/>
        <w:numPr>
          <w:ilvl w:val="0"/>
          <w:numId w:val="1"/>
        </w:numPr>
        <w:spacing w:after="60" w:line="340" w:lineRule="auto"/>
        <w:jc w:val="both"/>
      </w:pPr>
      <w:r>
        <w:rPr>
          <w:b/>
          <w:bCs/>
          <w:i w:val="0"/>
          <w:iCs w:val="0"/>
        </w:rPr>
        <w:t>老人个人情况：</w:t>
      </w:r>
      <w:r>
        <w:t>年龄、基础疾病、ADL 自理等级（由 2.x 章智能问卷生成）、护理偏好等结构化标签。</w:t>
      </w:r>
    </w:p>
    <w:p w14:paraId="1EF9A7B3">
      <w:pPr>
        <w:pStyle w:val="16"/>
        <w:numPr>
          <w:ilvl w:val="0"/>
          <w:numId w:val="1"/>
        </w:numPr>
        <w:spacing w:after="60" w:line="340" w:lineRule="auto"/>
        <w:jc w:val="both"/>
      </w:pPr>
      <w:r>
        <w:rPr>
          <w:b/>
          <w:bCs/>
          <w:i w:val="0"/>
          <w:iCs w:val="0"/>
        </w:rPr>
        <w:t>偏好与预算：</w:t>
      </w:r>
      <w:r>
        <w:t>机构价位水平偏好、医疗配套要求、休闲娱乐偏好等，作为多因子加权匹配的偏好项与硬过滤条件。</w:t>
      </w:r>
    </w:p>
    <w:p w14:paraId="29B0DC9C">
      <w:pPr>
        <w:pStyle w:val="16"/>
        <w:numPr>
          <w:ilvl w:val="0"/>
          <w:numId w:val="1"/>
        </w:numPr>
        <w:spacing w:after="60" w:line="340" w:lineRule="auto"/>
        <w:jc w:val="both"/>
      </w:pPr>
      <w:r>
        <w:rPr>
          <w:b/>
          <w:bCs/>
          <w:i w:val="0"/>
          <w:iCs w:val="0"/>
        </w:rPr>
        <w:t>收藏与历史：</w:t>
      </w:r>
      <w:r>
        <w:t>收藏夹、浏览历史、AI 对话历史、连访路线方案，支持随时回溯与对比。</w:t>
      </w:r>
    </w:p>
    <w:p w14:paraId="0FB4CDEC">
      <w:pPr>
        <w:pStyle w:val="3"/>
      </w:pPr>
      <w:r>
        <w:t>2.3 机构 SaaS 工作台</w:t>
      </w:r>
    </w:p>
    <w:p w14:paraId="7D63370C">
      <w:pPr>
        <w:spacing w:after="120" w:line="360" w:lineRule="auto"/>
        <w:ind w:firstLine="420"/>
        <w:jc w:val="both"/>
      </w:pPr>
      <w:r>
        <w:t>机构侧提供标准化入驻通道，资质审核通过后开放专属 SaaS 工作台，实现机构信息的动态自维护，从源头保证平台数据的鲜活与真实。</w:t>
      </w:r>
    </w:p>
    <w:p w14:paraId="6109969F">
      <w:pPr>
        <w:pStyle w:val="16"/>
        <w:numPr>
          <w:ilvl w:val="0"/>
          <w:numId w:val="1"/>
        </w:numPr>
        <w:spacing w:after="60" w:line="340" w:lineRule="auto"/>
        <w:jc w:val="both"/>
      </w:pPr>
      <w:r>
        <w:rPr>
          <w:b/>
          <w:bCs/>
          <w:i w:val="0"/>
          <w:iCs w:val="0"/>
        </w:rPr>
        <w:t>入驻申请流：</w:t>
      </w:r>
      <w:r>
        <w:t>机构提交营业执照、养老机构备案证明等资质材料，进入管理员审核队列（状态机：待审核→审核中→通过/驳回）。</w:t>
      </w:r>
    </w:p>
    <w:p w14:paraId="4D976075">
      <w:pPr>
        <w:pStyle w:val="16"/>
        <w:numPr>
          <w:ilvl w:val="0"/>
          <w:numId w:val="1"/>
        </w:numPr>
        <w:spacing w:after="60" w:line="340" w:lineRule="auto"/>
        <w:jc w:val="both"/>
      </w:pPr>
      <w:r>
        <w:rPr>
          <w:b/>
          <w:bCs/>
          <w:i w:val="0"/>
          <w:iCs w:val="0"/>
        </w:rPr>
        <w:t>床位与价格维护：</w:t>
      </w:r>
      <w:r>
        <w:t>动态维护床位总数、空余床位、护理等级分区、各档位价格，数据实时同步至前端检索与匹配算法。</w:t>
      </w:r>
    </w:p>
    <w:p w14:paraId="7671658F">
      <w:pPr>
        <w:pStyle w:val="16"/>
        <w:numPr>
          <w:ilvl w:val="0"/>
          <w:numId w:val="1"/>
        </w:numPr>
        <w:spacing w:after="60" w:line="340" w:lineRule="auto"/>
        <w:jc w:val="both"/>
      </w:pPr>
      <w:r>
        <w:rPr>
          <w:b/>
          <w:bCs/>
          <w:i w:val="0"/>
          <w:iCs w:val="0"/>
        </w:rPr>
        <w:t>实景图库与全景：</w:t>
      </w:r>
      <w:r>
        <w:t>上传机构实景图、房型图，支持全景看房素材挂载，支撑“沉浸式线上初筛”。</w:t>
      </w:r>
    </w:p>
    <w:p w14:paraId="1B7FBA0E">
      <w:pPr>
        <w:pStyle w:val="16"/>
        <w:numPr>
          <w:ilvl w:val="0"/>
          <w:numId w:val="1"/>
        </w:numPr>
        <w:spacing w:after="60" w:line="340" w:lineRule="auto"/>
        <w:jc w:val="both"/>
      </w:pPr>
      <w:r>
        <w:rPr>
          <w:b/>
          <w:bCs/>
          <w:i w:val="0"/>
          <w:iCs w:val="0"/>
        </w:rPr>
        <w:t>画像与运营反馈：</w:t>
      </w:r>
      <w:r>
        <w:t>查看本机构的多维评价雷达图、被收藏/到访次数、评价回复入口，辅助机构优化服务。</w:t>
      </w:r>
    </w:p>
    <w:p w14:paraId="2F07CE52">
      <w:pPr>
        <w:pStyle w:val="3"/>
      </w:pPr>
      <w:r>
        <w:t>2.4 总后台运营与内容风控</w:t>
      </w:r>
    </w:p>
    <w:p w14:paraId="5FADBF80">
      <w:pPr>
        <w:spacing w:after="120" w:line="360" w:lineRule="auto"/>
        <w:ind w:firstLine="420"/>
        <w:jc w:val="both"/>
      </w:pPr>
      <w:r>
        <w:t>平台管理员拥有全局数据管辖权，负责机构生命周期管理、数据治理与内容合规。</w:t>
      </w:r>
    </w:p>
    <w:p w14:paraId="7B0B52EC">
      <w:pPr>
        <w:pStyle w:val="16"/>
        <w:numPr>
          <w:ilvl w:val="0"/>
          <w:numId w:val="1"/>
        </w:numPr>
        <w:spacing w:after="60" w:line="340" w:lineRule="auto"/>
        <w:jc w:val="both"/>
      </w:pPr>
      <w:r>
        <w:rPr>
          <w:b/>
          <w:bCs/>
          <w:i w:val="0"/>
          <w:iCs w:val="0"/>
        </w:rPr>
        <w:t>入驻与资质审批：</w:t>
      </w:r>
      <w:r>
        <w:t>通过状态机工作流审批机构入驻与资质变更，记录审批日志，支持驳回原因回填。</w:t>
      </w:r>
    </w:p>
    <w:p w14:paraId="1E675200">
      <w:pPr>
        <w:pStyle w:val="16"/>
        <w:numPr>
          <w:ilvl w:val="0"/>
          <w:numId w:val="1"/>
        </w:numPr>
        <w:spacing w:after="60" w:line="340" w:lineRule="auto"/>
        <w:jc w:val="both"/>
      </w:pPr>
      <w:r>
        <w:rPr>
          <w:b/>
          <w:bCs/>
          <w:i w:val="0"/>
          <w:iCs w:val="0"/>
        </w:rPr>
        <w:t>数据治理：</w:t>
      </w:r>
      <w:r>
        <w:t>对爬取的 POI、机构数据进行去重、纠偏与地理编码质检，维护底图与图层服务的健康。</w:t>
      </w:r>
    </w:p>
    <w:p w14:paraId="2CE555A8">
      <w:pPr>
        <w:pStyle w:val="16"/>
        <w:numPr>
          <w:ilvl w:val="0"/>
          <w:numId w:val="1"/>
        </w:numPr>
        <w:spacing w:after="60" w:line="340" w:lineRule="auto"/>
        <w:jc w:val="both"/>
      </w:pPr>
      <w:r>
        <w:rPr>
          <w:b/>
          <w:bCs/>
          <w:i w:val="0"/>
          <w:iCs w:val="0"/>
        </w:rPr>
        <w:t>UGC 内容风控：</w:t>
      </w:r>
      <w:r>
        <w:t>对社区论坛的评价与图文内容进行敏感词过滤与合规审查，违规内容进入人工复核队列，保障平台生态健康。</w:t>
      </w:r>
    </w:p>
    <w:p w14:paraId="5D9039F0">
      <w:r>
        <w:br w:type="page"/>
      </w:r>
    </w:p>
    <w:p w14:paraId="61252583">
      <w:pPr>
        <w:pStyle w:val="2"/>
      </w:pPr>
      <w:r>
        <w:t>三、GIS 空间分析与决策模块（M2）</w:t>
      </w:r>
    </w:p>
    <w:p w14:paraId="3EFA6F90">
      <w:pPr>
        <w:spacing w:after="120" w:line="360" w:lineRule="auto"/>
        <w:ind w:firstLine="420"/>
        <w:jc w:val="both"/>
      </w:pPr>
      <w:r>
        <w:t>本模块是平台“空间能力”的集中体现，将复杂 GIS 空间分析能力封装为可在 Web 端实时调用的服务，包含探视可达性分析、医疗生命线分析与周边环境图层叠加三大子模块，并在此基础上合成机构层面的多项空间指数。其中医疗与周边环境部分在团队已有设计基础上进一步细化与体系化。</w:t>
      </w:r>
    </w:p>
    <w:p w14:paraId="7A56B612">
      <w:pPr>
        <w:pStyle w:val="3"/>
      </w:pPr>
      <w:r>
        <w:t>3.1 探视可达性分析（等时圈生成）</w:t>
      </w:r>
    </w:p>
    <w:p w14:paraId="1237B397">
      <w:pPr>
        <w:spacing w:after="120" w:line="360" w:lineRule="auto"/>
        <w:ind w:firstLine="420"/>
        <w:jc w:val="both"/>
      </w:pPr>
      <w:r>
        <w:t>该子模块解决“子女从居住地/通勤起点出发，探视是否便捷”这一核心决策问题，将抽象的通勤阻抗转化为直观的等时圈多边形。</w:t>
      </w:r>
    </w:p>
    <w:p w14:paraId="76A5CE51">
      <w:pPr>
        <w:spacing w:before="80" w:after="120" w:line="360" w:lineRule="auto"/>
        <w:ind w:firstLine="420"/>
        <w:jc w:val="both"/>
      </w:pPr>
      <w:r>
        <w:rPr>
          <w:b/>
          <w:bCs/>
          <w:color w:val="1F4E79"/>
        </w:rPr>
        <w:t>实现路径：</w:t>
      </w:r>
      <w:r>
        <w:t>结合南京市路网数据与 pgRouting 插件，以用户居住地或子女通勤起点为源点，分别计算驾车、公交、步行三种出行方式下的交通耗时，生成 15 / 30 / 60 分钟三档等时圈（Isochrone）多边形。</w:t>
      </w:r>
    </w:p>
    <w:p w14:paraId="4982A889">
      <w:pPr>
        <w:spacing w:before="80" w:after="120" w:line="360" w:lineRule="auto"/>
        <w:ind w:firstLine="420"/>
        <w:jc w:val="both"/>
      </w:pPr>
      <w:r>
        <w:rPr>
          <w:b/>
          <w:bCs/>
          <w:color w:val="1F4E79"/>
        </w:rPr>
        <w:t>空间筛选：</w:t>
      </w:r>
      <w:r>
        <w:t>通过 PostGIS 的 ST_Intersects 空间拓扑运算，精准筛选落在各档等时圈内的养老机构，并在地图上按耗时分级着色，支持用户拖动起点实时重算。</w:t>
      </w:r>
    </w:p>
    <w:p w14:paraId="09FFED52">
      <w:pPr>
        <w:spacing w:before="80" w:after="120" w:line="360" w:lineRule="auto"/>
        <w:ind w:firstLine="420"/>
        <w:jc w:val="both"/>
      </w:pPr>
      <w:r>
        <w:rPr>
          <w:b/>
          <w:bCs/>
          <w:color w:val="1F4E79"/>
        </w:rPr>
        <w:t>输出字段：</w:t>
      </w:r>
      <w:r>
        <w:t>为每个机构生成“探视可达性等级”（≤15min 优 / 15–30min 良 / 30–60min 中 / &gt;60min 弱）及对应耗时数值，纳入综合匹配模型。</w:t>
      </w:r>
    </w:p>
    <w:p w14:paraId="55F7C69E">
      <w:pPr>
        <w:pStyle w:val="3"/>
      </w:pPr>
      <w:r>
        <w:t>3.2 医疗生命线分析（医疗资源分级可达性 + 急救响应能力）</w:t>
      </w:r>
    </w:p>
    <w:p w14:paraId="779A0B6E">
      <w:pPr>
        <w:spacing w:after="120" w:line="360" w:lineRule="auto"/>
        <w:ind w:firstLine="420"/>
        <w:jc w:val="both"/>
        <w:rPr>
          <w:rFonts w:hint="eastAsia" w:eastAsia="宋体"/>
          <w:lang w:val="en-US" w:eastAsia="zh-CN"/>
        </w:rPr>
      </w:pPr>
      <w:r>
        <w:t>养老机构的医疗可达性直接关系到老人的健康保障，本子模块在原“医疗生命线”基础上，将周边医疗资源按等级分层分析，并叠加急救响应能力评估。</w:t>
      </w:r>
      <w:r>
        <w:rPr>
          <w:rFonts w:hint="eastAsia"/>
          <w:lang w:val="en-US" w:eastAsia="zh-CN"/>
        </w:rPr>
        <w:t>将医院</w:t>
      </w:r>
      <w:r>
        <w:t xml:space="preserve"> POI 数据矢量化，通过 GeoServer 发布为独立图层</w:t>
      </w:r>
      <w:r>
        <w:rPr>
          <w:rFonts w:hint="eastAsia"/>
          <w:lang w:eastAsia="zh-CN"/>
        </w:rPr>
        <w:t>。</w:t>
      </w:r>
    </w:p>
    <w:p w14:paraId="3F4EFFD7">
      <w:pPr>
        <w:pStyle w:val="4"/>
      </w:pPr>
      <w:r>
        <w:t>3.2.1 医疗资源分级可达性分析</w:t>
      </w:r>
    </w:p>
    <w:p w14:paraId="0F0FA539">
      <w:pPr>
        <w:spacing w:after="120" w:line="360" w:lineRule="auto"/>
        <w:ind w:firstLine="420"/>
        <w:jc w:val="both"/>
      </w:pPr>
      <w:r>
        <w:t>将周边医疗机构按小类分层标注，分别计算不同等级医疗资源到养老机构的距离与耗时（按下表小类名称查询筛选出对应类别医院并在图层上展示），实现医疗资源的“按需查看”。</w:t>
      </w:r>
    </w:p>
    <w:p w14:paraId="485DF02D">
      <w:pPr>
        <w:spacing w:after="120" w:line="360" w:lineRule="auto"/>
        <w:ind w:firstLine="420"/>
        <w:jc w:val="both"/>
      </w:pPr>
      <w:r>
        <w:rPr>
          <w:b/>
          <w:bCs/>
          <w:i w:val="0"/>
          <w:iCs w:val="0"/>
        </w:rPr>
        <w:t>可达性指数：</w:t>
      </w:r>
      <w:r>
        <w:t>根据“15 分钟可达三甲医院与综合医院数目”生成医疗资源可达性指数字段，并将所有机构的指数归一化至 0–1 区间，便于横向比较。技术上利用 PostGIS 的 ST_Distance / ST_DWithin 函数实时计算直线距离与路网距离，综合评价急救响应水平。</w:t>
      </w:r>
    </w:p>
    <w:p w14:paraId="0D97DB3D">
      <w:pPr>
        <w:spacing w:after="120" w:line="360" w:lineRule="auto"/>
        <w:ind w:firstLine="420"/>
        <w:jc w:val="both"/>
      </w:pPr>
      <w:r>
        <w:rPr>
          <w:b/>
          <w:bCs/>
          <w:i w:val="0"/>
          <w:iCs w:val="0"/>
        </w:rPr>
        <w:t>南京市医疗机构小类构成（数据示例）：</w:t>
      </w:r>
    </w:p>
    <w:tbl>
      <w:tblPr>
        <w:tblStyle w:val="11"/>
        <w:tblW w:w="7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1200"/>
        <w:gridCol w:w="2160"/>
        <w:gridCol w:w="1000"/>
      </w:tblGrid>
      <w:tr w14:paraId="0530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437C27A6">
            <w:pPr>
              <w:spacing w:line="280" w:lineRule="auto"/>
              <w:jc w:val="left"/>
            </w:pPr>
            <w:r>
              <w:rPr>
                <w:b/>
                <w:bCs/>
                <w:color w:val="FFFFFF"/>
                <w:sz w:val="20"/>
                <w:szCs w:val="20"/>
              </w:rPr>
              <w:t>序号</w:t>
            </w:r>
          </w:p>
        </w:tc>
        <w:tc>
          <w:tcPr>
            <w:tcW w:w="24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0B490C1F">
            <w:pPr>
              <w:spacing w:line="280" w:lineRule="auto"/>
              <w:jc w:val="left"/>
            </w:pPr>
            <w:r>
              <w:rPr>
                <w:b/>
                <w:bCs/>
                <w:color w:val="FFFFFF"/>
                <w:sz w:val="20"/>
                <w:szCs w:val="20"/>
              </w:rPr>
              <w:t>小类名称</w:t>
            </w:r>
          </w:p>
        </w:tc>
        <w:tc>
          <w:tcPr>
            <w:tcW w:w="12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2F43F086">
            <w:pPr>
              <w:spacing w:line="280" w:lineRule="auto"/>
              <w:jc w:val="left"/>
            </w:pPr>
            <w:r>
              <w:rPr>
                <w:b/>
                <w:bCs/>
                <w:color w:val="FFFFFF"/>
                <w:sz w:val="20"/>
                <w:szCs w:val="20"/>
              </w:rPr>
              <w:t>数量</w:t>
            </w:r>
          </w:p>
        </w:tc>
        <w:tc>
          <w:tcPr>
            <w:tcW w:w="21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4828E939">
            <w:pPr>
              <w:spacing w:line="280" w:lineRule="auto"/>
              <w:jc w:val="left"/>
            </w:pPr>
            <w:r>
              <w:rPr>
                <w:b/>
                <w:bCs/>
                <w:color w:val="FFFFFF"/>
                <w:sz w:val="20"/>
                <w:szCs w:val="20"/>
              </w:rPr>
              <w:t>所属中类</w:t>
            </w:r>
          </w:p>
        </w:tc>
        <w:tc>
          <w:tcPr>
            <w:tcW w:w="10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C3A49F3">
            <w:pPr>
              <w:spacing w:line="280" w:lineRule="auto"/>
              <w:jc w:val="left"/>
            </w:pPr>
            <w:r>
              <w:rPr>
                <w:b/>
                <w:bCs/>
                <w:color w:val="FFFFFF"/>
                <w:sz w:val="20"/>
                <w:szCs w:val="20"/>
              </w:rPr>
              <w:t>占比</w:t>
            </w:r>
          </w:p>
        </w:tc>
      </w:tr>
      <w:tr w14:paraId="389D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90B1B10">
            <w:pPr>
              <w:spacing w:line="280" w:lineRule="auto"/>
              <w:jc w:val="center"/>
            </w:pPr>
            <w:r>
              <w:rPr>
                <w:b w:val="0"/>
                <w:bCs w:val="0"/>
                <w:color w:val="333333"/>
                <w:sz w:val="20"/>
                <w:szCs w:val="20"/>
              </w:rPr>
              <w:t>1</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2D89203">
            <w:pPr>
              <w:spacing w:line="280" w:lineRule="auto"/>
              <w:jc w:val="left"/>
            </w:pPr>
            <w:r>
              <w:rPr>
                <w:b w:val="0"/>
                <w:bCs w:val="0"/>
                <w:color w:val="333333"/>
                <w:sz w:val="20"/>
                <w:szCs w:val="20"/>
              </w:rPr>
              <w:t>口腔医院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F5B5C4D">
            <w:pPr>
              <w:spacing w:line="280" w:lineRule="auto"/>
              <w:jc w:val="center"/>
            </w:pPr>
            <w:r>
              <w:rPr>
                <w:b w:val="0"/>
                <w:bCs w:val="0"/>
                <w:color w:val="333333"/>
                <w:sz w:val="20"/>
                <w:szCs w:val="20"/>
              </w:rPr>
              <w:t>873</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ED2A8DF">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82439FA">
            <w:pPr>
              <w:spacing w:line="280" w:lineRule="auto"/>
              <w:jc w:val="center"/>
            </w:pPr>
            <w:r>
              <w:rPr>
                <w:b w:val="0"/>
                <w:bCs w:val="0"/>
                <w:color w:val="333333"/>
                <w:sz w:val="20"/>
                <w:szCs w:val="20"/>
              </w:rPr>
              <w:t>31.7%</w:t>
            </w:r>
          </w:p>
        </w:tc>
      </w:tr>
      <w:tr w14:paraId="6D4D8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0BE7C27">
            <w:pPr>
              <w:spacing w:line="280" w:lineRule="auto"/>
              <w:jc w:val="center"/>
            </w:pPr>
            <w:r>
              <w:rPr>
                <w:b w:val="0"/>
                <w:bCs w:val="0"/>
                <w:color w:val="333333"/>
                <w:sz w:val="20"/>
                <w:szCs w:val="20"/>
              </w:rPr>
              <w:t>2</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C4F0241">
            <w:pPr>
              <w:spacing w:line="280" w:lineRule="auto"/>
              <w:jc w:val="left"/>
            </w:pPr>
            <w:r>
              <w:rPr>
                <w:b w:val="0"/>
                <w:bCs w:val="0"/>
                <w:color w:val="333333"/>
                <w:sz w:val="20"/>
                <w:szCs w:val="20"/>
              </w:rPr>
              <w:t>卫生院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2F5222E">
            <w:pPr>
              <w:spacing w:line="280" w:lineRule="auto"/>
              <w:jc w:val="center"/>
            </w:pPr>
            <w:r>
              <w:rPr>
                <w:b w:val="0"/>
                <w:bCs w:val="0"/>
                <w:color w:val="333333"/>
                <w:sz w:val="20"/>
                <w:szCs w:val="20"/>
              </w:rPr>
              <w:t>610</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8C6AD0A">
            <w:pPr>
              <w:spacing w:line="280" w:lineRule="auto"/>
              <w:jc w:val="left"/>
            </w:pPr>
            <w:r>
              <w:rPr>
                <w:b w:val="0"/>
                <w:bCs w:val="0"/>
                <w:color w:val="333333"/>
                <w:sz w:val="20"/>
                <w:szCs w:val="20"/>
              </w:rPr>
              <w:t>综合医院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D5C8466">
            <w:pPr>
              <w:spacing w:line="280" w:lineRule="auto"/>
              <w:jc w:val="center"/>
            </w:pPr>
            <w:r>
              <w:rPr>
                <w:b w:val="0"/>
                <w:bCs w:val="0"/>
                <w:color w:val="333333"/>
                <w:sz w:val="20"/>
                <w:szCs w:val="20"/>
              </w:rPr>
              <w:t>22.1%</w:t>
            </w:r>
          </w:p>
        </w:tc>
      </w:tr>
      <w:tr w14:paraId="50B0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5FB7198">
            <w:pPr>
              <w:spacing w:line="280" w:lineRule="auto"/>
              <w:jc w:val="center"/>
            </w:pPr>
            <w:r>
              <w:rPr>
                <w:b w:val="0"/>
                <w:bCs w:val="0"/>
                <w:color w:val="333333"/>
                <w:sz w:val="20"/>
                <w:szCs w:val="20"/>
              </w:rPr>
              <w:t>3</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5971407">
            <w:pPr>
              <w:spacing w:line="280" w:lineRule="auto"/>
              <w:jc w:val="left"/>
            </w:pPr>
            <w:r>
              <w:rPr>
                <w:b w:val="0"/>
                <w:bCs w:val="0"/>
                <w:color w:val="333333"/>
                <w:sz w:val="20"/>
                <w:szCs w:val="20"/>
              </w:rPr>
              <w:t>三级甲等医院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4CF4478">
            <w:pPr>
              <w:spacing w:line="280" w:lineRule="auto"/>
              <w:jc w:val="center"/>
            </w:pPr>
            <w:r>
              <w:rPr>
                <w:b w:val="0"/>
                <w:bCs w:val="0"/>
                <w:color w:val="333333"/>
                <w:sz w:val="20"/>
                <w:szCs w:val="20"/>
              </w:rPr>
              <w:t>506</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B9C6DA4">
            <w:pPr>
              <w:spacing w:line="280" w:lineRule="auto"/>
              <w:jc w:val="left"/>
            </w:pPr>
            <w:r>
              <w:rPr>
                <w:b w:val="0"/>
                <w:bCs w:val="0"/>
                <w:color w:val="333333"/>
                <w:sz w:val="20"/>
                <w:szCs w:val="20"/>
              </w:rPr>
              <w:t>综合医院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A8D2937">
            <w:pPr>
              <w:spacing w:line="280" w:lineRule="auto"/>
              <w:jc w:val="center"/>
            </w:pPr>
            <w:r>
              <w:rPr>
                <w:b w:val="0"/>
                <w:bCs w:val="0"/>
                <w:color w:val="333333"/>
                <w:sz w:val="20"/>
                <w:szCs w:val="20"/>
              </w:rPr>
              <w:t>18.4%</w:t>
            </w:r>
          </w:p>
        </w:tc>
      </w:tr>
      <w:tr w14:paraId="2651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06281A2">
            <w:pPr>
              <w:spacing w:line="280" w:lineRule="auto"/>
              <w:jc w:val="center"/>
            </w:pPr>
            <w:r>
              <w:rPr>
                <w:b w:val="0"/>
                <w:bCs w:val="0"/>
                <w:color w:val="333333"/>
                <w:sz w:val="20"/>
                <w:szCs w:val="20"/>
              </w:rPr>
              <w:t>4</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FB6B869">
            <w:pPr>
              <w:spacing w:line="280" w:lineRule="auto"/>
              <w:jc w:val="left"/>
            </w:pPr>
            <w:r>
              <w:rPr>
                <w:b w:val="0"/>
                <w:bCs w:val="0"/>
                <w:color w:val="333333"/>
                <w:sz w:val="20"/>
                <w:szCs w:val="20"/>
              </w:rPr>
              <w:t>综合医院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F2F96CC">
            <w:pPr>
              <w:spacing w:line="280" w:lineRule="auto"/>
              <w:jc w:val="center"/>
            </w:pPr>
            <w:r>
              <w:rPr>
                <w:b w:val="0"/>
                <w:bCs w:val="0"/>
                <w:color w:val="333333"/>
                <w:sz w:val="20"/>
                <w:szCs w:val="20"/>
              </w:rPr>
              <w:t>456</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77108A0">
            <w:pPr>
              <w:spacing w:line="280" w:lineRule="auto"/>
              <w:jc w:val="left"/>
            </w:pPr>
            <w:r>
              <w:rPr>
                <w:b w:val="0"/>
                <w:bCs w:val="0"/>
                <w:color w:val="333333"/>
                <w:sz w:val="20"/>
                <w:szCs w:val="20"/>
              </w:rPr>
              <w:t>综合医院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29152B5">
            <w:pPr>
              <w:spacing w:line="280" w:lineRule="auto"/>
              <w:jc w:val="center"/>
            </w:pPr>
            <w:r>
              <w:rPr>
                <w:b w:val="0"/>
                <w:bCs w:val="0"/>
                <w:color w:val="333333"/>
                <w:sz w:val="20"/>
                <w:szCs w:val="20"/>
              </w:rPr>
              <w:t>16.5%</w:t>
            </w:r>
          </w:p>
        </w:tc>
      </w:tr>
      <w:tr w14:paraId="0BE2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D54441D">
            <w:pPr>
              <w:spacing w:line="280" w:lineRule="auto"/>
              <w:jc w:val="center"/>
            </w:pPr>
            <w:r>
              <w:rPr>
                <w:b w:val="0"/>
                <w:bCs w:val="0"/>
                <w:color w:val="333333"/>
                <w:sz w:val="20"/>
                <w:szCs w:val="20"/>
              </w:rPr>
              <w:t>5</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B7A6ABB">
            <w:pPr>
              <w:spacing w:line="280" w:lineRule="auto"/>
              <w:jc w:val="left"/>
            </w:pPr>
            <w:r>
              <w:rPr>
                <w:b w:val="0"/>
                <w:bCs w:val="0"/>
                <w:color w:val="333333"/>
                <w:sz w:val="20"/>
                <w:szCs w:val="20"/>
              </w:rPr>
              <w:t>专科医院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AAF49A7">
            <w:pPr>
              <w:spacing w:line="280" w:lineRule="auto"/>
              <w:jc w:val="center"/>
            </w:pPr>
            <w:r>
              <w:rPr>
                <w:b w:val="0"/>
                <w:bCs w:val="0"/>
                <w:color w:val="333333"/>
                <w:sz w:val="20"/>
                <w:szCs w:val="20"/>
              </w:rPr>
              <w:t>139</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49D9FB6">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C1FBFCC">
            <w:pPr>
              <w:spacing w:line="280" w:lineRule="auto"/>
              <w:jc w:val="center"/>
            </w:pPr>
            <w:r>
              <w:rPr>
                <w:b w:val="0"/>
                <w:bCs w:val="0"/>
                <w:color w:val="333333"/>
                <w:sz w:val="20"/>
                <w:szCs w:val="20"/>
              </w:rPr>
              <w:t>5.0%</w:t>
            </w:r>
          </w:p>
        </w:tc>
      </w:tr>
      <w:tr w14:paraId="2C44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53D25EF">
            <w:pPr>
              <w:spacing w:line="280" w:lineRule="auto"/>
              <w:jc w:val="center"/>
            </w:pPr>
            <w:r>
              <w:rPr>
                <w:b w:val="0"/>
                <w:bCs w:val="0"/>
                <w:color w:val="333333"/>
                <w:sz w:val="20"/>
                <w:szCs w:val="20"/>
              </w:rPr>
              <w:t>6</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35FA7F9">
            <w:pPr>
              <w:spacing w:line="280" w:lineRule="auto"/>
              <w:jc w:val="left"/>
            </w:pPr>
            <w:r>
              <w:rPr>
                <w:b w:val="0"/>
                <w:bCs w:val="0"/>
                <w:color w:val="333333"/>
                <w:sz w:val="20"/>
                <w:szCs w:val="20"/>
              </w:rPr>
              <w:t>眼科医院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5C8C167">
            <w:pPr>
              <w:spacing w:line="280" w:lineRule="auto"/>
              <w:jc w:val="center"/>
            </w:pPr>
            <w:r>
              <w:rPr>
                <w:b w:val="0"/>
                <w:bCs w:val="0"/>
                <w:color w:val="333333"/>
                <w:sz w:val="20"/>
                <w:szCs w:val="20"/>
              </w:rPr>
              <w:t>62</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429AD85">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2C6A101">
            <w:pPr>
              <w:spacing w:line="280" w:lineRule="auto"/>
              <w:jc w:val="center"/>
            </w:pPr>
            <w:r>
              <w:rPr>
                <w:b w:val="0"/>
                <w:bCs w:val="0"/>
                <w:color w:val="333333"/>
                <w:sz w:val="20"/>
                <w:szCs w:val="20"/>
              </w:rPr>
              <w:t>2.2%</w:t>
            </w:r>
          </w:p>
        </w:tc>
      </w:tr>
      <w:tr w14:paraId="4173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A19002A">
            <w:pPr>
              <w:spacing w:line="280" w:lineRule="auto"/>
              <w:jc w:val="center"/>
            </w:pPr>
            <w:r>
              <w:rPr>
                <w:b w:val="0"/>
                <w:bCs w:val="0"/>
                <w:color w:val="333333"/>
                <w:sz w:val="20"/>
                <w:szCs w:val="20"/>
              </w:rPr>
              <w:t>7</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7F5FC8F">
            <w:pPr>
              <w:spacing w:line="280" w:lineRule="auto"/>
              <w:jc w:val="left"/>
            </w:pPr>
            <w:r>
              <w:rPr>
                <w:b w:val="0"/>
                <w:bCs w:val="0"/>
                <w:color w:val="333333"/>
                <w:sz w:val="20"/>
                <w:szCs w:val="20"/>
              </w:rPr>
              <w:t>骨科医院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00813A8">
            <w:pPr>
              <w:spacing w:line="280" w:lineRule="auto"/>
              <w:jc w:val="center"/>
            </w:pPr>
            <w:r>
              <w:rPr>
                <w:b w:val="0"/>
                <w:bCs w:val="0"/>
                <w:color w:val="333333"/>
                <w:sz w:val="20"/>
                <w:szCs w:val="20"/>
              </w:rPr>
              <w:t>31</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33E1F0C">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237E72C">
            <w:pPr>
              <w:spacing w:line="280" w:lineRule="auto"/>
              <w:jc w:val="center"/>
            </w:pPr>
            <w:r>
              <w:rPr>
                <w:b w:val="0"/>
                <w:bCs w:val="0"/>
                <w:color w:val="333333"/>
                <w:sz w:val="20"/>
                <w:szCs w:val="20"/>
              </w:rPr>
              <w:t>1.1%</w:t>
            </w:r>
          </w:p>
        </w:tc>
      </w:tr>
      <w:tr w14:paraId="1F523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D0A6ABE">
            <w:pPr>
              <w:spacing w:line="280" w:lineRule="auto"/>
              <w:jc w:val="center"/>
            </w:pPr>
            <w:r>
              <w:rPr>
                <w:b w:val="0"/>
                <w:bCs w:val="0"/>
                <w:color w:val="333333"/>
                <w:sz w:val="20"/>
                <w:szCs w:val="20"/>
              </w:rPr>
              <w:t>8</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11E31E6">
            <w:pPr>
              <w:spacing w:line="280" w:lineRule="auto"/>
              <w:jc w:val="left"/>
            </w:pPr>
            <w:r>
              <w:rPr>
                <w:b w:val="0"/>
                <w:bCs w:val="0"/>
                <w:color w:val="333333"/>
                <w:sz w:val="20"/>
                <w:szCs w:val="20"/>
              </w:rPr>
              <w:t>脑科医院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700C77E">
            <w:pPr>
              <w:spacing w:line="280" w:lineRule="auto"/>
              <w:jc w:val="center"/>
            </w:pPr>
            <w:r>
              <w:rPr>
                <w:b w:val="0"/>
                <w:bCs w:val="0"/>
                <w:color w:val="333333"/>
                <w:sz w:val="20"/>
                <w:szCs w:val="20"/>
              </w:rPr>
              <w:t>26</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111F882">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646655D">
            <w:pPr>
              <w:spacing w:line="280" w:lineRule="auto"/>
              <w:jc w:val="center"/>
            </w:pPr>
            <w:r>
              <w:rPr>
                <w:b w:val="0"/>
                <w:bCs w:val="0"/>
                <w:color w:val="333333"/>
                <w:sz w:val="20"/>
                <w:szCs w:val="20"/>
              </w:rPr>
              <w:t>0.9%</w:t>
            </w:r>
          </w:p>
        </w:tc>
      </w:tr>
      <w:tr w14:paraId="1D7E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C6ED0E4">
            <w:pPr>
              <w:spacing w:line="280" w:lineRule="auto"/>
              <w:jc w:val="center"/>
            </w:pPr>
            <w:r>
              <w:rPr>
                <w:b w:val="0"/>
                <w:bCs w:val="0"/>
                <w:color w:val="333333"/>
                <w:sz w:val="20"/>
                <w:szCs w:val="20"/>
              </w:rPr>
              <w:t>9</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AFB6993">
            <w:pPr>
              <w:spacing w:line="280" w:lineRule="auto"/>
              <w:jc w:val="left"/>
            </w:pPr>
            <w:r>
              <w:rPr>
                <w:b w:val="0"/>
                <w:bCs w:val="0"/>
                <w:color w:val="333333"/>
                <w:sz w:val="20"/>
                <w:szCs w:val="20"/>
              </w:rPr>
              <w:t>妇科医院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C5EADC4">
            <w:pPr>
              <w:spacing w:line="280" w:lineRule="auto"/>
              <w:jc w:val="center"/>
            </w:pPr>
            <w:r>
              <w:rPr>
                <w:b w:val="0"/>
                <w:bCs w:val="0"/>
                <w:color w:val="333333"/>
                <w:sz w:val="20"/>
                <w:szCs w:val="20"/>
              </w:rPr>
              <w:t>15</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40018E4">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AAA3076">
            <w:pPr>
              <w:spacing w:line="280" w:lineRule="auto"/>
              <w:jc w:val="center"/>
            </w:pPr>
            <w:r>
              <w:rPr>
                <w:b w:val="0"/>
                <w:bCs w:val="0"/>
                <w:color w:val="333333"/>
                <w:sz w:val="20"/>
                <w:szCs w:val="20"/>
              </w:rPr>
              <w:t>0.5%</w:t>
            </w:r>
          </w:p>
        </w:tc>
      </w:tr>
      <w:tr w14:paraId="25FF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50A9E49">
            <w:pPr>
              <w:spacing w:line="280" w:lineRule="auto"/>
              <w:jc w:val="center"/>
            </w:pPr>
            <w:r>
              <w:rPr>
                <w:b w:val="0"/>
                <w:bCs w:val="0"/>
                <w:color w:val="333333"/>
                <w:sz w:val="20"/>
                <w:szCs w:val="20"/>
              </w:rPr>
              <w:t>10</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BF8EE74">
            <w:pPr>
              <w:spacing w:line="280" w:lineRule="auto"/>
              <w:jc w:val="left"/>
            </w:pPr>
            <w:r>
              <w:rPr>
                <w:b w:val="0"/>
                <w:bCs w:val="0"/>
                <w:color w:val="333333"/>
                <w:sz w:val="20"/>
                <w:szCs w:val="20"/>
              </w:rPr>
              <w:t>胸科医院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5CD9A0A">
            <w:pPr>
              <w:spacing w:line="280" w:lineRule="auto"/>
              <w:jc w:val="center"/>
            </w:pPr>
            <w:r>
              <w:rPr>
                <w:b w:val="0"/>
                <w:bCs w:val="0"/>
                <w:color w:val="333333"/>
                <w:sz w:val="20"/>
                <w:szCs w:val="20"/>
              </w:rPr>
              <w:t>12</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D9AB4AF">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6C2D025">
            <w:pPr>
              <w:spacing w:line="280" w:lineRule="auto"/>
              <w:jc w:val="center"/>
            </w:pPr>
            <w:r>
              <w:rPr>
                <w:b w:val="0"/>
                <w:bCs w:val="0"/>
                <w:color w:val="333333"/>
                <w:sz w:val="20"/>
                <w:szCs w:val="20"/>
              </w:rPr>
              <w:t>0.4%</w:t>
            </w:r>
          </w:p>
        </w:tc>
      </w:tr>
      <w:tr w14:paraId="1901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52693B4">
            <w:pPr>
              <w:spacing w:line="280" w:lineRule="auto"/>
              <w:jc w:val="center"/>
            </w:pPr>
            <w:r>
              <w:rPr>
                <w:b w:val="0"/>
                <w:bCs w:val="0"/>
                <w:color w:val="333333"/>
                <w:sz w:val="20"/>
                <w:szCs w:val="20"/>
              </w:rPr>
              <w:t>11</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BF803D4">
            <w:pPr>
              <w:spacing w:line="280" w:lineRule="auto"/>
              <w:jc w:val="left"/>
            </w:pPr>
            <w:r>
              <w:rPr>
                <w:b w:val="0"/>
                <w:bCs w:val="0"/>
                <w:color w:val="333333"/>
                <w:sz w:val="20"/>
                <w:szCs w:val="20"/>
              </w:rPr>
              <w:t>肿瘤医院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8F778C2">
            <w:pPr>
              <w:spacing w:line="280" w:lineRule="auto"/>
              <w:jc w:val="center"/>
            </w:pPr>
            <w:r>
              <w:rPr>
                <w:b w:val="0"/>
                <w:bCs w:val="0"/>
                <w:color w:val="333333"/>
                <w:sz w:val="20"/>
                <w:szCs w:val="20"/>
              </w:rPr>
              <w:t>11</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C3EFDBA">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1C25DB0">
            <w:pPr>
              <w:spacing w:line="280" w:lineRule="auto"/>
              <w:jc w:val="center"/>
            </w:pPr>
            <w:r>
              <w:rPr>
                <w:b w:val="0"/>
                <w:bCs w:val="0"/>
                <w:color w:val="333333"/>
                <w:sz w:val="20"/>
                <w:szCs w:val="20"/>
              </w:rPr>
              <w:t>0.4%</w:t>
            </w:r>
          </w:p>
        </w:tc>
      </w:tr>
      <w:tr w14:paraId="0E9A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9D5FBC8">
            <w:pPr>
              <w:spacing w:line="280" w:lineRule="auto"/>
              <w:jc w:val="center"/>
            </w:pPr>
            <w:r>
              <w:rPr>
                <w:b w:val="0"/>
                <w:bCs w:val="0"/>
                <w:color w:val="333333"/>
                <w:sz w:val="20"/>
                <w:szCs w:val="20"/>
              </w:rPr>
              <w:t>12</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92115F3">
            <w:pPr>
              <w:spacing w:line="280" w:lineRule="auto"/>
              <w:jc w:val="left"/>
            </w:pPr>
            <w:r>
              <w:rPr>
                <w:b w:val="0"/>
                <w:bCs w:val="0"/>
                <w:color w:val="333333"/>
                <w:sz w:val="20"/>
                <w:szCs w:val="20"/>
              </w:rPr>
              <w:t>耳鼻喉医院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5D0F265">
            <w:pPr>
              <w:spacing w:line="280" w:lineRule="auto"/>
              <w:jc w:val="center"/>
            </w:pPr>
            <w:r>
              <w:rPr>
                <w:b w:val="0"/>
                <w:bCs w:val="0"/>
                <w:color w:val="333333"/>
                <w:sz w:val="20"/>
                <w:szCs w:val="20"/>
              </w:rPr>
              <w:t>6</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3050E38">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130E99B">
            <w:pPr>
              <w:spacing w:line="280" w:lineRule="auto"/>
              <w:jc w:val="center"/>
            </w:pPr>
            <w:r>
              <w:rPr>
                <w:b w:val="0"/>
                <w:bCs w:val="0"/>
                <w:color w:val="333333"/>
                <w:sz w:val="20"/>
                <w:szCs w:val="20"/>
              </w:rPr>
              <w:t>0.2%</w:t>
            </w:r>
          </w:p>
        </w:tc>
      </w:tr>
      <w:tr w14:paraId="357E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68DA122">
            <w:pPr>
              <w:spacing w:line="280" w:lineRule="auto"/>
              <w:jc w:val="center"/>
            </w:pPr>
            <w:r>
              <w:rPr>
                <w:b w:val="0"/>
                <w:bCs w:val="0"/>
                <w:color w:val="333333"/>
                <w:sz w:val="20"/>
                <w:szCs w:val="20"/>
              </w:rPr>
              <w:t>13</w:t>
            </w:r>
          </w:p>
        </w:tc>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2430544">
            <w:pPr>
              <w:spacing w:line="280" w:lineRule="auto"/>
              <w:jc w:val="left"/>
            </w:pPr>
            <w:r>
              <w:rPr>
                <w:b w:val="0"/>
                <w:bCs w:val="0"/>
                <w:color w:val="333333"/>
                <w:sz w:val="20"/>
                <w:szCs w:val="20"/>
              </w:rPr>
              <w:t>精神病医院</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8E38538">
            <w:pPr>
              <w:spacing w:line="280" w:lineRule="auto"/>
              <w:jc w:val="center"/>
            </w:pPr>
            <w:r>
              <w:rPr>
                <w:b w:val="0"/>
                <w:bCs w:val="0"/>
                <w:color w:val="333333"/>
                <w:sz w:val="20"/>
                <w:szCs w:val="20"/>
              </w:rPr>
              <w:t>4</w:t>
            </w:r>
          </w:p>
        </w:tc>
        <w:tc>
          <w:tcPr>
            <w:tcW w:w="21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2AF793B">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EA35257">
            <w:pPr>
              <w:spacing w:line="280" w:lineRule="auto"/>
              <w:jc w:val="center"/>
            </w:pPr>
            <w:r>
              <w:rPr>
                <w:b w:val="0"/>
                <w:bCs w:val="0"/>
                <w:color w:val="333333"/>
                <w:sz w:val="20"/>
                <w:szCs w:val="20"/>
              </w:rPr>
              <w:t>0.1%</w:t>
            </w:r>
          </w:p>
        </w:tc>
      </w:tr>
      <w:tr w14:paraId="3530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6DEF23E">
            <w:pPr>
              <w:spacing w:line="280" w:lineRule="auto"/>
              <w:jc w:val="center"/>
            </w:pPr>
            <w:r>
              <w:rPr>
                <w:b w:val="0"/>
                <w:bCs w:val="0"/>
                <w:color w:val="333333"/>
                <w:sz w:val="20"/>
                <w:szCs w:val="20"/>
              </w:rPr>
              <w:t>14</w:t>
            </w:r>
          </w:p>
        </w:tc>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DF6FBDA">
            <w:pPr>
              <w:spacing w:line="280" w:lineRule="auto"/>
              <w:jc w:val="left"/>
            </w:pPr>
            <w:r>
              <w:rPr>
                <w:b w:val="0"/>
                <w:bCs w:val="0"/>
                <w:color w:val="333333"/>
                <w:sz w:val="20"/>
                <w:szCs w:val="20"/>
              </w:rPr>
              <w:t>传染病医院</w:t>
            </w:r>
          </w:p>
        </w:tc>
        <w:tc>
          <w:tcPr>
            <w:tcW w:w="1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8C2CE6B">
            <w:pPr>
              <w:spacing w:line="280" w:lineRule="auto"/>
              <w:jc w:val="center"/>
            </w:pPr>
            <w:r>
              <w:rPr>
                <w:b w:val="0"/>
                <w:bCs w:val="0"/>
                <w:color w:val="333333"/>
                <w:sz w:val="20"/>
                <w:szCs w:val="20"/>
              </w:rPr>
              <w:t>2</w:t>
            </w:r>
          </w:p>
        </w:tc>
        <w:tc>
          <w:tcPr>
            <w:tcW w:w="21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65345D5">
            <w:pPr>
              <w:spacing w:line="280" w:lineRule="auto"/>
              <w:jc w:val="left"/>
            </w:pPr>
            <w:r>
              <w:rPr>
                <w:b w:val="0"/>
                <w:bCs w:val="0"/>
                <w:color w:val="333333"/>
                <w:sz w:val="20"/>
                <w:szCs w:val="20"/>
              </w:rPr>
              <w:t>专科医院</w:t>
            </w:r>
          </w:p>
        </w:tc>
        <w:tc>
          <w:tcPr>
            <w:tcW w:w="1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C1F02FA">
            <w:pPr>
              <w:spacing w:line="280" w:lineRule="auto"/>
              <w:jc w:val="center"/>
            </w:pPr>
            <w:r>
              <w:rPr>
                <w:b w:val="0"/>
                <w:bCs w:val="0"/>
                <w:color w:val="333333"/>
                <w:sz w:val="20"/>
                <w:szCs w:val="20"/>
              </w:rPr>
              <w:t>0.1%</w:t>
            </w:r>
          </w:p>
        </w:tc>
      </w:tr>
    </w:tbl>
    <w:p w14:paraId="41F8BDCF">
      <w:pPr>
        <w:pStyle w:val="4"/>
      </w:pPr>
      <w:r>
        <w:t>3.2.2 急救响应能力评估</w:t>
      </w:r>
    </w:p>
    <w:p w14:paraId="0013F125">
      <w:pPr>
        <w:spacing w:after="120" w:line="360" w:lineRule="auto"/>
        <w:ind w:firstLine="420"/>
        <w:jc w:val="both"/>
      </w:pPr>
      <w:r>
        <w:t>结合路网数据与医疗机构分布，模拟从养老机构呼叫急救到救护车抵达的时间窗口，生成“急救响应热力图”，直观展示各养老机构的紧急医疗救援保障水平。响应时间 ≤15 分钟的区域标记为绿色（高保障），15–30 分钟为黄色（中保障），&gt;30 分钟为红色（低保障），帮助家属评估机构应对突发健康事件的能力。系统据此生成“急救响应能力”字段（高保障 / 中保障 / 低保障）。</w:t>
      </w:r>
    </w:p>
    <w:p w14:paraId="4FDD62EB">
      <w:pPr>
        <w:pStyle w:val="3"/>
      </w:pPr>
      <w:r>
        <w:t>3.3 周边环境图层叠加（生活便利性 + 休闲生态）</w:t>
      </w:r>
    </w:p>
    <w:p w14:paraId="48E2A713">
      <w:pPr>
        <w:spacing w:after="120" w:line="360" w:lineRule="auto"/>
        <w:ind w:firstLine="420"/>
        <w:jc w:val="both"/>
      </w:pPr>
      <w:r>
        <w:t>将城市公园、超市、药店、污染源等多源 POI 数据矢量化，通过 GeoServer 发布为独立图层，用户可通过图层控制器自由勾选叠加，实现对机构周边环境的全方位评估。在团队已有设计基础上，本子模块体系化拆分为“日常生活便利性”与“休闲生态环境”两条评价线。</w:t>
      </w:r>
    </w:p>
    <w:p w14:paraId="5E9EE3EB">
      <w:pPr>
        <w:pStyle w:val="4"/>
      </w:pPr>
      <w:r>
        <w:t>3.3.1 日常生活便利性分析</w:t>
      </w:r>
    </w:p>
    <w:p w14:paraId="70444519">
      <w:pPr>
        <w:spacing w:after="120" w:line="360" w:lineRule="auto"/>
        <w:ind w:firstLine="420"/>
        <w:jc w:val="both"/>
      </w:pPr>
      <w:r>
        <w:rPr>
          <w:b/>
          <w:bCs/>
          <w:i w:val="0"/>
          <w:iCs w:val="0"/>
        </w:rPr>
        <w:t>15 分钟生活圈设施覆盖率评价：</w:t>
      </w:r>
      <w:r>
        <w:t>以“15 分钟生活圈”（老年人步行约 600 米范围）为基本评价单元，综合评估养老机构周边菜市场、超市、药店、银行、社区食堂、理发店等日常生活服务设施的覆盖密度与多样性。生成每个养老机构的“生活便利度指数”（归一化至 0–1 区间），直观比较不同机构周边日常生活的便捷程度。</w:t>
      </w:r>
    </w:p>
    <w:p w14:paraId="443C65F0">
      <w:pPr>
        <w:pStyle w:val="4"/>
      </w:pPr>
      <w:r>
        <w:t>3.3.2 休闲与生态环境分析</w:t>
      </w:r>
    </w:p>
    <w:p w14:paraId="0780243F">
      <w:pPr>
        <w:spacing w:after="120" w:line="360" w:lineRule="auto"/>
        <w:ind w:firstLine="420"/>
        <w:jc w:val="both"/>
      </w:pPr>
      <w:r>
        <w:rPr>
          <w:b/>
          <w:bCs/>
          <w:i w:val="0"/>
          <w:iCs w:val="0"/>
        </w:rPr>
        <w:t>公园绿地可达性与品质评估：</w:t>
      </w:r>
      <w:r>
        <w:t>在立项书“周边环境图层叠加”基础上深化：不仅标注公园绿地、景点位置，还进一步分析各养老机构到最近公园绿地、景点的步行距离，生成“绿色休闲指数”（归一化至 0–1 区间）供用户参考。</w:t>
      </w:r>
    </w:p>
    <w:p w14:paraId="69F4919D">
      <w:pPr>
        <w:pStyle w:val="3"/>
      </w:pPr>
      <w:r>
        <w:t>3.4 综合空间指数合成</w:t>
      </w:r>
    </w:p>
    <w:p w14:paraId="286FE498">
      <w:pPr>
        <w:spacing w:after="120" w:line="360" w:lineRule="auto"/>
        <w:ind w:firstLine="420"/>
        <w:jc w:val="both"/>
      </w:pPr>
      <w:r>
        <w:t>为便于前端统一呈现与排序推荐，本模块将上述各子模块产出的分项指数进行加权合成，得到机构层面的“综合空间宜居指数”。各分项指数及其在综合指数中的默认权重如下表（权重可由 AHP 层次分析法标定，亦可由用户在偏好设置中动态调整）：</w:t>
      </w:r>
    </w:p>
    <w:tbl>
      <w:tblPr>
        <w:tblStyle w:val="11"/>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000"/>
      </w:tblGrid>
      <w:tr w14:paraId="73A1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50767EB9">
            <w:pPr>
              <w:spacing w:line="280" w:lineRule="auto"/>
              <w:jc w:val="left"/>
            </w:pPr>
            <w:r>
              <w:rPr>
                <w:b/>
                <w:bCs/>
                <w:color w:val="FFFFFF"/>
                <w:sz w:val="20"/>
                <w:szCs w:val="20"/>
              </w:rPr>
              <w:t>分项指数</w:t>
            </w:r>
          </w:p>
        </w:tc>
        <w:tc>
          <w:tcPr>
            <w:tcW w:w="33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562B3E9F">
            <w:pPr>
              <w:spacing w:line="280" w:lineRule="auto"/>
              <w:jc w:val="left"/>
            </w:pPr>
            <w:r>
              <w:rPr>
                <w:b/>
                <w:bCs/>
                <w:color w:val="FFFFFF"/>
                <w:sz w:val="20"/>
                <w:szCs w:val="20"/>
              </w:rPr>
              <w:t>来源子模块</w:t>
            </w:r>
          </w:p>
        </w:tc>
        <w:tc>
          <w:tcPr>
            <w:tcW w:w="30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339ED9A8">
            <w:pPr>
              <w:spacing w:line="280" w:lineRule="auto"/>
              <w:jc w:val="left"/>
            </w:pPr>
            <w:r>
              <w:rPr>
                <w:b/>
                <w:bCs/>
                <w:color w:val="FFFFFF"/>
                <w:sz w:val="20"/>
                <w:szCs w:val="20"/>
              </w:rPr>
              <w:t>默认权重（可调）</w:t>
            </w:r>
          </w:p>
        </w:tc>
      </w:tr>
      <w:tr w14:paraId="2285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5947F7A">
            <w:pPr>
              <w:spacing w:line="280" w:lineRule="auto"/>
              <w:jc w:val="left"/>
            </w:pPr>
            <w:r>
              <w:rPr>
                <w:b w:val="0"/>
                <w:bCs w:val="0"/>
                <w:color w:val="333333"/>
                <w:sz w:val="20"/>
                <w:szCs w:val="20"/>
              </w:rPr>
              <w:t>探视可达性指数</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34D605F">
            <w:pPr>
              <w:spacing w:line="280" w:lineRule="auto"/>
              <w:jc w:val="left"/>
            </w:pPr>
            <w:r>
              <w:rPr>
                <w:b w:val="0"/>
                <w:bCs w:val="0"/>
                <w:color w:val="333333"/>
                <w:sz w:val="20"/>
                <w:szCs w:val="20"/>
              </w:rPr>
              <w:t>3.1 等时圈分析</w:t>
            </w:r>
          </w:p>
        </w:tc>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0B3B165">
            <w:pPr>
              <w:spacing w:line="280" w:lineRule="auto"/>
              <w:jc w:val="center"/>
            </w:pPr>
            <w:r>
              <w:rPr>
                <w:b w:val="0"/>
                <w:bCs w:val="0"/>
                <w:color w:val="333333"/>
                <w:sz w:val="20"/>
                <w:szCs w:val="20"/>
              </w:rPr>
              <w:t>0.25</w:t>
            </w:r>
          </w:p>
        </w:tc>
      </w:tr>
      <w:tr w14:paraId="357F0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AECAE6E">
            <w:pPr>
              <w:spacing w:line="280" w:lineRule="auto"/>
              <w:jc w:val="left"/>
            </w:pPr>
            <w:r>
              <w:rPr>
                <w:b w:val="0"/>
                <w:bCs w:val="0"/>
                <w:color w:val="333333"/>
                <w:sz w:val="20"/>
                <w:szCs w:val="20"/>
              </w:rPr>
              <w:t>医疗资源可达性指数</w:t>
            </w:r>
          </w:p>
        </w:tc>
        <w:tc>
          <w:tcPr>
            <w:tcW w:w="33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046048D">
            <w:pPr>
              <w:spacing w:line="280" w:lineRule="auto"/>
              <w:jc w:val="left"/>
            </w:pPr>
            <w:r>
              <w:rPr>
                <w:b w:val="0"/>
                <w:bCs w:val="0"/>
                <w:color w:val="333333"/>
                <w:sz w:val="20"/>
                <w:szCs w:val="20"/>
              </w:rPr>
              <w:t>3.2.1 医疗分级可达性</w:t>
            </w:r>
          </w:p>
        </w:tc>
        <w:tc>
          <w:tcPr>
            <w:tcW w:w="3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335EF216">
            <w:pPr>
              <w:spacing w:line="280" w:lineRule="auto"/>
              <w:jc w:val="center"/>
            </w:pPr>
            <w:r>
              <w:rPr>
                <w:b w:val="0"/>
                <w:bCs w:val="0"/>
                <w:color w:val="333333"/>
                <w:sz w:val="20"/>
                <w:szCs w:val="20"/>
              </w:rPr>
              <w:t>0.30</w:t>
            </w:r>
          </w:p>
        </w:tc>
      </w:tr>
      <w:tr w14:paraId="6BF9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A0971DC">
            <w:pPr>
              <w:spacing w:line="280" w:lineRule="auto"/>
              <w:jc w:val="left"/>
            </w:pPr>
            <w:r>
              <w:rPr>
                <w:b w:val="0"/>
                <w:bCs w:val="0"/>
                <w:color w:val="333333"/>
                <w:sz w:val="20"/>
                <w:szCs w:val="20"/>
              </w:rPr>
              <w:t>急救响应能力</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B01D90E">
            <w:pPr>
              <w:spacing w:line="280" w:lineRule="auto"/>
              <w:jc w:val="left"/>
            </w:pPr>
            <w:r>
              <w:rPr>
                <w:b w:val="0"/>
                <w:bCs w:val="0"/>
                <w:color w:val="333333"/>
                <w:sz w:val="20"/>
                <w:szCs w:val="20"/>
              </w:rPr>
              <w:t>3.2.2 急救响应评估</w:t>
            </w:r>
          </w:p>
        </w:tc>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BD63EBC">
            <w:pPr>
              <w:spacing w:line="280" w:lineRule="auto"/>
              <w:jc w:val="center"/>
            </w:pPr>
            <w:r>
              <w:rPr>
                <w:b w:val="0"/>
                <w:bCs w:val="0"/>
                <w:color w:val="333333"/>
                <w:sz w:val="20"/>
                <w:szCs w:val="20"/>
              </w:rPr>
              <w:t>0.15</w:t>
            </w:r>
          </w:p>
        </w:tc>
      </w:tr>
      <w:tr w14:paraId="51F84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8CA25EF">
            <w:pPr>
              <w:spacing w:line="280" w:lineRule="auto"/>
              <w:jc w:val="left"/>
            </w:pPr>
            <w:r>
              <w:rPr>
                <w:b w:val="0"/>
                <w:bCs w:val="0"/>
                <w:color w:val="333333"/>
                <w:sz w:val="20"/>
                <w:szCs w:val="20"/>
              </w:rPr>
              <w:t>生活便利度指数</w:t>
            </w:r>
          </w:p>
        </w:tc>
        <w:tc>
          <w:tcPr>
            <w:tcW w:w="33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A6DCE7E">
            <w:pPr>
              <w:spacing w:line="280" w:lineRule="auto"/>
              <w:jc w:val="left"/>
            </w:pPr>
            <w:r>
              <w:rPr>
                <w:b w:val="0"/>
                <w:bCs w:val="0"/>
                <w:color w:val="333333"/>
                <w:sz w:val="20"/>
                <w:szCs w:val="20"/>
              </w:rPr>
              <w:t>3.3.1 生活圈覆盖</w:t>
            </w:r>
          </w:p>
        </w:tc>
        <w:tc>
          <w:tcPr>
            <w:tcW w:w="30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0521089">
            <w:pPr>
              <w:spacing w:line="280" w:lineRule="auto"/>
              <w:jc w:val="center"/>
            </w:pPr>
            <w:r>
              <w:rPr>
                <w:b w:val="0"/>
                <w:bCs w:val="0"/>
                <w:color w:val="333333"/>
                <w:sz w:val="20"/>
                <w:szCs w:val="20"/>
              </w:rPr>
              <w:t>0.20</w:t>
            </w:r>
          </w:p>
        </w:tc>
      </w:tr>
      <w:tr w14:paraId="440C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593319A">
            <w:pPr>
              <w:spacing w:line="280" w:lineRule="auto"/>
              <w:jc w:val="left"/>
            </w:pPr>
            <w:r>
              <w:rPr>
                <w:b w:val="0"/>
                <w:bCs w:val="0"/>
                <w:color w:val="333333"/>
                <w:sz w:val="20"/>
                <w:szCs w:val="20"/>
              </w:rPr>
              <w:t>绿色休闲指数</w:t>
            </w:r>
          </w:p>
        </w:tc>
        <w:tc>
          <w:tcPr>
            <w:tcW w:w="33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177EF9C">
            <w:pPr>
              <w:spacing w:line="280" w:lineRule="auto"/>
              <w:jc w:val="left"/>
            </w:pPr>
            <w:r>
              <w:rPr>
                <w:b w:val="0"/>
                <w:bCs w:val="0"/>
                <w:color w:val="333333"/>
                <w:sz w:val="20"/>
                <w:szCs w:val="20"/>
              </w:rPr>
              <w:t>3.3.2 公园绿地评估</w:t>
            </w:r>
          </w:p>
        </w:tc>
        <w:tc>
          <w:tcPr>
            <w:tcW w:w="30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1FBAA0E">
            <w:pPr>
              <w:spacing w:line="280" w:lineRule="auto"/>
              <w:jc w:val="center"/>
            </w:pPr>
            <w:r>
              <w:rPr>
                <w:b w:val="0"/>
                <w:bCs w:val="0"/>
                <w:color w:val="333333"/>
                <w:sz w:val="20"/>
                <w:szCs w:val="20"/>
              </w:rPr>
              <w:t>0.10</w:t>
            </w:r>
          </w:p>
        </w:tc>
      </w:tr>
    </w:tbl>
    <w:p w14:paraId="1A091AB3">
      <w:pPr>
        <w:spacing w:after="120" w:line="360" w:lineRule="auto"/>
        <w:ind w:firstLine="420"/>
        <w:jc w:val="both"/>
      </w:pPr>
      <w:r>
        <w:t>综合指数同样归一化至 0–1 区间，并以雷达图形式在机构详情页展示，直观呈现机构在各维度上的优劣势。</w:t>
      </w:r>
    </w:p>
    <w:p w14:paraId="60F4E6D1">
      <w:r>
        <w:br w:type="page"/>
      </w:r>
    </w:p>
    <w:p w14:paraId="4A13BE81">
      <w:pPr>
        <w:pStyle w:val="2"/>
      </w:pPr>
      <w:r>
        <w:t>五、智能推荐与精准匹配模块（M4）</w:t>
      </w:r>
    </w:p>
    <w:p w14:paraId="1ABAE561">
      <w:pPr>
        <w:spacing w:after="120" w:line="360" w:lineRule="auto"/>
        <w:ind w:firstLine="420"/>
        <w:jc w:val="both"/>
      </w:pPr>
      <w:r>
        <w:t>本模块解决“个性化照护需求与机构服务能力精准匹配”这一核心痛点，将复杂的非结构化需求转化为结构化标签，再通过算法实现精准排序推荐，大幅降低家属人工筛选与实地走访的试错成本。</w:t>
      </w:r>
    </w:p>
    <w:p w14:paraId="20E68E26">
      <w:pPr>
        <w:pStyle w:val="3"/>
      </w:pPr>
      <w:r>
        <w:t>5.1 需求标签化与量表数字化（ADL）</w:t>
      </w:r>
    </w:p>
    <w:p w14:paraId="2D575A42">
      <w:pPr>
        <w:spacing w:after="120" w:line="360" w:lineRule="auto"/>
        <w:ind w:firstLine="420"/>
        <w:jc w:val="both"/>
      </w:pPr>
      <w:r>
        <w:t>将国际通用的 ADL（日常生活活动能力）量表转化为前端交互式问卷，老人或家属通过逐项作答完成自评。后端通过业务逻辑将非结构化的用户输入（身体状况、护理需求、经济状况）转化为结构化的核心标签。</w:t>
      </w:r>
    </w:p>
    <w:tbl>
      <w:tblPr>
        <w:tblStyle w:val="11"/>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3960"/>
      </w:tblGrid>
      <w:tr w14:paraId="390E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2B4D14CD">
            <w:pPr>
              <w:spacing w:line="280" w:lineRule="auto"/>
              <w:jc w:val="left"/>
            </w:pPr>
            <w:r>
              <w:rPr>
                <w:b/>
                <w:bCs/>
                <w:color w:val="FFFFFF"/>
                <w:sz w:val="20"/>
                <w:szCs w:val="20"/>
              </w:rPr>
              <w:t>输入维度</w:t>
            </w:r>
          </w:p>
        </w:tc>
        <w:tc>
          <w:tcPr>
            <w:tcW w:w="26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5944590D">
            <w:pPr>
              <w:spacing w:line="280" w:lineRule="auto"/>
              <w:jc w:val="left"/>
            </w:pPr>
            <w:r>
              <w:rPr>
                <w:b/>
                <w:bCs/>
                <w:color w:val="FFFFFF"/>
                <w:sz w:val="20"/>
                <w:szCs w:val="20"/>
              </w:rPr>
              <w:t>采集方式</w:t>
            </w:r>
          </w:p>
        </w:tc>
        <w:tc>
          <w:tcPr>
            <w:tcW w:w="39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70BFDB86">
            <w:pPr>
              <w:spacing w:line="280" w:lineRule="auto"/>
              <w:jc w:val="left"/>
            </w:pPr>
            <w:r>
              <w:rPr>
                <w:b/>
                <w:bCs/>
                <w:color w:val="FFFFFF"/>
                <w:sz w:val="20"/>
                <w:szCs w:val="20"/>
              </w:rPr>
              <w:t>结构化输出标签</w:t>
            </w:r>
          </w:p>
        </w:tc>
      </w:tr>
      <w:tr w14:paraId="7698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3571415">
            <w:pPr>
              <w:spacing w:line="280" w:lineRule="auto"/>
              <w:jc w:val="left"/>
            </w:pPr>
            <w:r>
              <w:rPr>
                <w:b w:val="0"/>
                <w:bCs w:val="0"/>
                <w:color w:val="333333"/>
                <w:sz w:val="20"/>
                <w:szCs w:val="20"/>
              </w:rPr>
              <w:t>身体自理能力</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124DB981">
            <w:pPr>
              <w:spacing w:line="280" w:lineRule="auto"/>
              <w:jc w:val="left"/>
            </w:pPr>
            <w:r>
              <w:rPr>
                <w:b w:val="0"/>
                <w:bCs w:val="0"/>
                <w:color w:val="333333"/>
                <w:sz w:val="20"/>
                <w:szCs w:val="20"/>
              </w:rPr>
              <w:t>ADL 量表逐项打分</w:t>
            </w:r>
          </w:p>
        </w:tc>
        <w:tc>
          <w:tcPr>
            <w:tcW w:w="39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EA5C3B8">
            <w:pPr>
              <w:spacing w:line="280" w:lineRule="auto"/>
              <w:jc w:val="left"/>
            </w:pPr>
            <w:r>
              <w:rPr>
                <w:b w:val="0"/>
                <w:bCs w:val="0"/>
                <w:color w:val="333333"/>
                <w:sz w:val="20"/>
                <w:szCs w:val="20"/>
              </w:rPr>
              <w:t>自理 / 半失能 / 失能 / 失智等护理等级标签。</w:t>
            </w:r>
          </w:p>
        </w:tc>
      </w:tr>
      <w:tr w14:paraId="3720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E9724DB">
            <w:pPr>
              <w:spacing w:line="280" w:lineRule="auto"/>
              <w:jc w:val="left"/>
            </w:pPr>
            <w:r>
              <w:rPr>
                <w:b w:val="0"/>
                <w:bCs w:val="0"/>
                <w:color w:val="333333"/>
                <w:sz w:val="20"/>
                <w:szCs w:val="20"/>
              </w:rPr>
              <w:t>经济承受能力</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A17D3A8">
            <w:pPr>
              <w:spacing w:line="280" w:lineRule="auto"/>
              <w:jc w:val="left"/>
            </w:pPr>
            <w:r>
              <w:rPr>
                <w:b w:val="0"/>
                <w:bCs w:val="0"/>
                <w:color w:val="333333"/>
                <w:sz w:val="20"/>
                <w:szCs w:val="20"/>
              </w:rPr>
              <w:t>预算区间选择</w:t>
            </w:r>
          </w:p>
        </w:tc>
        <w:tc>
          <w:tcPr>
            <w:tcW w:w="39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42225A4B">
            <w:pPr>
              <w:spacing w:line="280" w:lineRule="auto"/>
              <w:jc w:val="left"/>
            </w:pPr>
            <w:r>
              <w:rPr>
                <w:b w:val="0"/>
                <w:bCs w:val="0"/>
                <w:color w:val="333333"/>
                <w:sz w:val="20"/>
                <w:szCs w:val="20"/>
              </w:rPr>
              <w:t>价位档位（经济型 / 标准型 / 高端型）硬过滤条件。</w:t>
            </w:r>
          </w:p>
        </w:tc>
      </w:tr>
      <w:tr w14:paraId="7A44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90062A6">
            <w:pPr>
              <w:spacing w:line="280" w:lineRule="auto"/>
              <w:jc w:val="left"/>
            </w:pPr>
            <w:r>
              <w:rPr>
                <w:b w:val="0"/>
                <w:bCs w:val="0"/>
                <w:color w:val="333333"/>
                <w:sz w:val="20"/>
                <w:szCs w:val="20"/>
              </w:rPr>
              <w:t>位置与探视偏好</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5B8FF71">
            <w:pPr>
              <w:spacing w:line="280" w:lineRule="auto"/>
              <w:jc w:val="left"/>
            </w:pPr>
            <w:r>
              <w:rPr>
                <w:b w:val="0"/>
                <w:bCs w:val="0"/>
                <w:color w:val="333333"/>
                <w:sz w:val="20"/>
                <w:szCs w:val="20"/>
              </w:rPr>
              <w:t>居住地 + 期望范围</w:t>
            </w:r>
          </w:p>
        </w:tc>
        <w:tc>
          <w:tcPr>
            <w:tcW w:w="39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5A044176">
            <w:pPr>
              <w:spacing w:line="280" w:lineRule="auto"/>
              <w:jc w:val="left"/>
            </w:pPr>
            <w:r>
              <w:rPr>
                <w:b w:val="0"/>
                <w:bCs w:val="0"/>
                <w:color w:val="333333"/>
                <w:sz w:val="20"/>
                <w:szCs w:val="20"/>
              </w:rPr>
              <w:t>可达性约束（等时圈范围）硬过滤条件。</w:t>
            </w:r>
          </w:p>
        </w:tc>
      </w:tr>
      <w:tr w14:paraId="3B54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846A0D6">
            <w:pPr>
              <w:spacing w:line="280" w:lineRule="auto"/>
              <w:jc w:val="left"/>
            </w:pPr>
            <w:r>
              <w:rPr>
                <w:b w:val="0"/>
                <w:bCs w:val="0"/>
                <w:color w:val="333333"/>
                <w:sz w:val="20"/>
                <w:szCs w:val="20"/>
              </w:rPr>
              <w:t>生活与休闲偏好</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754D6C40">
            <w:pPr>
              <w:spacing w:line="280" w:lineRule="auto"/>
              <w:jc w:val="left"/>
            </w:pPr>
            <w:r>
              <w:rPr>
                <w:b w:val="0"/>
                <w:bCs w:val="0"/>
                <w:color w:val="333333"/>
                <w:sz w:val="20"/>
                <w:szCs w:val="20"/>
              </w:rPr>
              <w:t>多选标签</w:t>
            </w:r>
          </w:p>
        </w:tc>
        <w:tc>
          <w:tcPr>
            <w:tcW w:w="39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ADDA066">
            <w:pPr>
              <w:spacing w:line="280" w:lineRule="auto"/>
              <w:jc w:val="left"/>
            </w:pPr>
            <w:r>
              <w:rPr>
                <w:b w:val="0"/>
                <w:bCs w:val="0"/>
                <w:color w:val="333333"/>
                <w:sz w:val="20"/>
                <w:szCs w:val="20"/>
              </w:rPr>
              <w:t>医疗优先 / 环境优先 / 餐饮 / 娱乐等加权偏好项。</w:t>
            </w:r>
          </w:p>
        </w:tc>
      </w:tr>
    </w:tbl>
    <w:p w14:paraId="3143BB59">
      <w:pPr>
        <w:pStyle w:val="3"/>
      </w:pPr>
      <w:r>
        <w:t>5.2 多因子加权匹配算法（AHP / 复合过滤）</w:t>
      </w:r>
    </w:p>
    <w:p w14:paraId="3E45ADD5">
      <w:pPr>
        <w:spacing w:after="120" w:line="360" w:lineRule="auto"/>
        <w:ind w:firstLine="420"/>
        <w:jc w:val="both"/>
      </w:pPr>
      <w:r>
        <w:t>采用层次分析法（AHP）或多条件复合过滤 + 加权评分模型。将空间距离、经济预算、照护匹配度作为硬性过滤条件，先行剔除不满足刚性约束的机构；再将个性化偏好（医疗、环境、娱乐、休闲等）作为加权项，结合 M2 模块输出的各项空间指数，计算综合匹配度得分。</w:t>
      </w:r>
    </w:p>
    <w:p w14:paraId="6C319C61">
      <w:pPr>
        <w:spacing w:after="120" w:line="360" w:lineRule="auto"/>
        <w:ind w:firstLine="420"/>
        <w:jc w:val="both"/>
      </w:pPr>
      <w:r>
        <w:t>匹配度得分的概念化计算逻辑可表示为：综合得分 = Σ（各维度归一化指数 × 对应权重），其中权重由 AHP 判断矩阵标定或由用户在偏好设置中实时调整，确保推荐结果既科学又贴合个体需求。</w:t>
      </w:r>
    </w:p>
    <w:p w14:paraId="2F065CEF">
      <w:pPr>
        <w:pStyle w:val="3"/>
      </w:pPr>
      <w:r>
        <w:t>5.3 排序推荐列表与连访路线规划</w:t>
      </w:r>
    </w:p>
    <w:p w14:paraId="52C16F03">
      <w:pPr>
        <w:spacing w:before="80" w:after="120" w:line="360" w:lineRule="auto"/>
        <w:ind w:firstLine="420"/>
        <w:jc w:val="both"/>
      </w:pPr>
      <w:r>
        <w:rPr>
          <w:b/>
          <w:bCs/>
          <w:color w:val="1F4E79"/>
        </w:rPr>
        <w:t>排序推荐：</w:t>
      </w:r>
      <w:r>
        <w:t>依据综合匹配度得分输出降序排序的推荐列表，每个条目展示机构名称、综合得分、各分项指数雷达缩略图、关键标签与价格，支持用户加入对比清单进行多机构横向比较。</w:t>
      </w:r>
    </w:p>
    <w:p w14:paraId="76603D77">
      <w:pPr>
        <w:spacing w:before="80" w:after="120" w:line="360" w:lineRule="auto"/>
        <w:ind w:firstLine="420"/>
        <w:jc w:val="both"/>
      </w:pPr>
      <w:r>
        <w:rPr>
          <w:b/>
          <w:bCs/>
          <w:color w:val="1F4E79"/>
        </w:rPr>
        <w:t>连访路线规划：</w:t>
      </w:r>
      <w:r>
        <w:t>针对“跨区域逐一实地走访耗时耗力”的痛点，对用户收藏或加入对比的多家机构，利用 GIS 路径规划能力生成一次出行可依次到访的最优连访路线，进一步降低线下考察成本。</w:t>
      </w:r>
      <w:bookmarkStart w:id="0" w:name="_GoBack"/>
      <w:bookmarkEnd w:id="0"/>
    </w:p>
    <w:p w14:paraId="22E27EF4">
      <w:r>
        <w:br w:type="page"/>
      </w:r>
    </w:p>
    <w:p w14:paraId="31594C60">
      <w:pPr>
        <w:pStyle w:val="2"/>
      </w:pPr>
      <w:r>
        <w:t>六、真实评价与内容社区模块（M5·UGC）</w:t>
      </w:r>
    </w:p>
    <w:p w14:paraId="317E784E">
      <w:pPr>
        <w:spacing w:after="120" w:line="360" w:lineRule="auto"/>
        <w:ind w:firstLine="420"/>
        <w:jc w:val="both"/>
      </w:pPr>
      <w:r>
        <w:t>本模块通过真实家属评价与护理科普社区，弥补传统平台“只有官方图文、缺乏真实口碑”的不足，构建可信的 UGC 内容生态，支撑家属的高精度线上初筛。</w:t>
      </w:r>
    </w:p>
    <w:p w14:paraId="694AFEB3">
      <w:pPr>
        <w:pStyle w:val="3"/>
      </w:pPr>
      <w:r>
        <w:t>6.1 多维评价体系建模</w:t>
      </w:r>
    </w:p>
    <w:p w14:paraId="62BFFB22">
      <w:pPr>
        <w:spacing w:after="120" w:line="360" w:lineRule="auto"/>
        <w:ind w:firstLine="420"/>
        <w:jc w:val="both"/>
      </w:pPr>
      <w:r>
        <w:t>数据库设计支持多级维度打分（如医疗响应、硬件设施、餐饮膳食、护理服务、性价比等），前端采用 ECharts 等图表库将评价数据可视化为雷达图，直观展示机构在各维度上的优劣势，与 M2 模块的空间指数雷达图形成“主观口碑 + 客观空间”的双重画像。</w:t>
      </w:r>
    </w:p>
    <w:p w14:paraId="7701E9CF">
      <w:pPr>
        <w:pStyle w:val="3"/>
      </w:pPr>
      <w:r>
        <w:t>6.2 UGC 社区互动</w:t>
      </w:r>
    </w:p>
    <w:p w14:paraId="2E0538CC">
      <w:pPr>
        <w:spacing w:after="120" w:line="360" w:lineRule="auto"/>
        <w:ind w:firstLine="420"/>
        <w:jc w:val="both"/>
      </w:pPr>
      <w:r>
        <w:t>利用富文本编辑器搭建用户社区与护理科普论坛，支持图文发帖、问答互动与经验分享。结合倒排索引实现内容的快速全文检索与相关性推荐，帮助新用户快速获取同类家庭的真实择址经验。</w:t>
      </w:r>
    </w:p>
    <w:p w14:paraId="16215D01">
      <w:pPr>
        <w:pStyle w:val="3"/>
      </w:pPr>
      <w:r>
        <w:t>6.3 内容风控</w:t>
      </w:r>
    </w:p>
    <w:p w14:paraId="0D70ADC0">
      <w:pPr>
        <w:spacing w:after="120" w:line="360" w:lineRule="auto"/>
        <w:ind w:firstLine="420"/>
        <w:jc w:val="both"/>
      </w:pPr>
      <w:r>
        <w:t>对社区论坛的 UGC 评价与图文内容进行敏感词过滤与合规审查，疑似违规内容自动拦截并进入管理员人工复核队列，确保平台内容生态的真实、健康与合规。</w:t>
      </w:r>
    </w:p>
    <w:p w14:paraId="125E9C28">
      <w:r>
        <w:br w:type="page"/>
      </w:r>
    </w:p>
    <w:p w14:paraId="34BC5695">
      <w:pPr>
        <w:pStyle w:val="2"/>
      </w:pPr>
      <w:r>
        <w:t>七、AI 伴诊助手（M6·LLM 对话式交互推荐模块）</w:t>
      </w:r>
    </w:p>
    <w:p w14:paraId="57E80940">
      <w:pPr>
        <w:spacing w:after="120" w:line="360" w:lineRule="auto"/>
        <w:ind w:firstLine="420"/>
        <w:jc w:val="both"/>
      </w:pPr>
      <w:r>
        <w:t>本模块是平台的技术创新亮点，将大语言模型（LLM）与 WebGIS 深度融合，实现“对话即分析”。用户只需输入自然语言，系统即可自动解析需求、调度后端 GIS 空间查询与匹配算法，并将结果以富媒体形式联动地图呈现，极大降低老年人及家属获取复杂空间决策信息的门槛。</w:t>
      </w:r>
    </w:p>
    <w:p w14:paraId="55258CDC">
      <w:pPr>
        <w:pStyle w:val="3"/>
      </w:pPr>
      <w:r>
        <w:t>7.1 自然语言需求解析</w:t>
      </w:r>
    </w:p>
    <w:p w14:paraId="29A2DBEA">
      <w:pPr>
        <w:spacing w:after="120" w:line="360" w:lineRule="auto"/>
        <w:ind w:firstLine="420"/>
        <w:jc w:val="both"/>
      </w:pPr>
      <w:r>
        <w:t>后端借助 LangChain / LlamaIndex 框架接入主流大模型，通过多轮对话交互，动态且精准地提取用户的隐性需求实体（如照护等级、预算区间、位置偏好、医疗要求等），将口语化表达逐步澄清为结构化查询条件，对接 M4 模块的标签体系。</w:t>
      </w:r>
    </w:p>
    <w:p w14:paraId="5D07DADD">
      <w:pPr>
        <w:pStyle w:val="3"/>
      </w:pPr>
      <w:r>
        <w:t>7.2 RAG 检索增强生成（私有知识库）</w:t>
      </w:r>
    </w:p>
    <w:p w14:paraId="474FDDEF">
      <w:pPr>
        <w:spacing w:after="120" w:line="360" w:lineRule="auto"/>
        <w:ind w:firstLine="420"/>
        <w:jc w:val="both"/>
      </w:pPr>
      <w:r>
        <w:t>依托 PostgreSQL 的 pgvector 向量扩展插件构建垂直领域私有知识库，将平台真实的机构档案、养老补贴政策、护理科普知识进行向量化存储。用户提问时先检索相关知识片段再交由大模型生成回答（RAG），确保 AI 回答严格基于平台真实数据与权威政策，有效抑制大模型幻觉。</w:t>
      </w:r>
    </w:p>
    <w:p w14:paraId="240E585F">
      <w:pPr>
        <w:pStyle w:val="3"/>
      </w:pPr>
      <w:r>
        <w:t>7.3 Function Calling 调度与富媒体交互</w:t>
      </w:r>
    </w:p>
    <w:p w14:paraId="7018D133">
      <w:pPr>
        <w:spacing w:after="120" w:line="360" w:lineRule="auto"/>
        <w:ind w:firstLine="420"/>
        <w:jc w:val="both"/>
      </w:pPr>
      <w:r>
        <w:t>利用 Function Calling 机制，使 AI 能够自主判断意图并调度后端的 GIS 空间查询（如等时圈、医疗可达性）与多因子匹配算法，实现“自然语言 → 复杂 GIS 空间查询（NLP-to-Spatial SQL）”的转化。前端支持适老化语音输入与 SSE 流式响应，并将推荐结果渲染为可联动地图的交互式卡片，用户点击即可在地图上高亮对应机构与其等时圈、周边图层。</w:t>
      </w:r>
    </w:p>
    <w:p w14:paraId="284DA309">
      <w:r>
        <w:br w:type="page"/>
      </w:r>
    </w:p>
    <w:p w14:paraId="59599FAC">
      <w:pPr>
        <w:pStyle w:val="2"/>
      </w:pPr>
      <w:r>
        <w:t>八、核心数据库表结构设计（概要）</w:t>
      </w:r>
    </w:p>
    <w:p w14:paraId="0925218A">
      <w:pPr>
        <w:spacing w:after="120" w:line="360" w:lineRule="auto"/>
        <w:ind w:firstLine="420"/>
        <w:jc w:val="both"/>
      </w:pPr>
      <w:r>
        <w:t>为支撑上述六大模块，数据库采用 PostgreSQL + PostGIS + pgvector 一体化存储，业务数据与空间数据统一组织。核心数据表概要如下：</w:t>
      </w:r>
    </w:p>
    <w:tbl>
      <w:tblPr>
        <w:tblStyle w:val="11"/>
        <w:tblW w:w="9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600"/>
        <w:gridCol w:w="4260"/>
      </w:tblGrid>
      <w:tr w14:paraId="0D11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48DD3DB">
            <w:pPr>
              <w:spacing w:line="280" w:lineRule="auto"/>
              <w:jc w:val="left"/>
            </w:pPr>
            <w:r>
              <w:rPr>
                <w:b/>
                <w:bCs/>
                <w:color w:val="FFFFFF"/>
                <w:sz w:val="20"/>
                <w:szCs w:val="20"/>
              </w:rPr>
              <w:t>数据表</w:t>
            </w:r>
          </w:p>
        </w:tc>
        <w:tc>
          <w:tcPr>
            <w:tcW w:w="260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12A6D785">
            <w:pPr>
              <w:spacing w:line="280" w:lineRule="auto"/>
              <w:jc w:val="left"/>
            </w:pPr>
            <w:r>
              <w:rPr>
                <w:b/>
                <w:bCs/>
                <w:color w:val="FFFFFF"/>
                <w:sz w:val="20"/>
                <w:szCs w:val="20"/>
              </w:rPr>
              <w:t>关键字段</w:t>
            </w:r>
          </w:p>
        </w:tc>
        <w:tc>
          <w:tcPr>
            <w:tcW w:w="4260" w:type="dxa"/>
            <w:tcBorders>
              <w:top w:val="single" w:color="BFBFBF" w:sz="4" w:space="0"/>
              <w:left w:val="single" w:color="BFBFBF" w:sz="4" w:space="0"/>
              <w:bottom w:val="single" w:color="BFBFBF" w:sz="4" w:space="0"/>
              <w:right w:val="single" w:color="BFBFBF" w:sz="4" w:space="0"/>
            </w:tcBorders>
            <w:shd w:val="clear" w:color="auto" w:fill="2E75B6"/>
            <w:tcMar>
              <w:top w:w="60" w:type="dxa"/>
              <w:left w:w="110" w:type="dxa"/>
              <w:bottom w:w="60" w:type="dxa"/>
              <w:right w:w="110" w:type="dxa"/>
            </w:tcMar>
            <w:vAlign w:val="center"/>
          </w:tcPr>
          <w:p w14:paraId="2BA3065E">
            <w:pPr>
              <w:spacing w:line="280" w:lineRule="auto"/>
              <w:jc w:val="left"/>
            </w:pPr>
            <w:r>
              <w:rPr>
                <w:b/>
                <w:bCs/>
                <w:color w:val="FFFFFF"/>
                <w:sz w:val="20"/>
                <w:szCs w:val="20"/>
              </w:rPr>
              <w:t>用途与空间扩展</w:t>
            </w:r>
          </w:p>
        </w:tc>
      </w:tr>
      <w:tr w14:paraId="15DE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A53D167">
            <w:pPr>
              <w:spacing w:line="280" w:lineRule="auto"/>
              <w:jc w:val="left"/>
            </w:pPr>
            <w:r>
              <w:rPr>
                <w:b w:val="0"/>
                <w:bCs w:val="0"/>
                <w:color w:val="333333"/>
                <w:sz w:val="20"/>
                <w:szCs w:val="20"/>
              </w:rPr>
              <w:t>用户表 user</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7D99E0F">
            <w:pPr>
              <w:spacing w:line="280" w:lineRule="auto"/>
              <w:jc w:val="left"/>
            </w:pPr>
            <w:r>
              <w:rPr>
                <w:b w:val="0"/>
                <w:bCs w:val="0"/>
                <w:color w:val="333333"/>
                <w:sz w:val="20"/>
                <w:szCs w:val="20"/>
              </w:rPr>
              <w:t>user_id、角色、手机号、居住地坐标</w:t>
            </w:r>
          </w:p>
        </w:tc>
        <w:tc>
          <w:tcPr>
            <w:tcW w:w="42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2724B880">
            <w:pPr>
              <w:spacing w:line="280" w:lineRule="auto"/>
              <w:jc w:val="left"/>
            </w:pPr>
            <w:r>
              <w:rPr>
                <w:b w:val="0"/>
                <w:bCs w:val="0"/>
                <w:color w:val="333333"/>
                <w:sz w:val="20"/>
                <w:szCs w:val="20"/>
              </w:rPr>
              <w:t>RBAC 鉴权与档案；居住地为 geometry(Point)。</w:t>
            </w:r>
          </w:p>
        </w:tc>
      </w:tr>
      <w:tr w14:paraId="158D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27C1801">
            <w:pPr>
              <w:spacing w:line="280" w:lineRule="auto"/>
              <w:jc w:val="left"/>
            </w:pPr>
            <w:r>
              <w:rPr>
                <w:b w:val="0"/>
                <w:bCs w:val="0"/>
                <w:color w:val="333333"/>
                <w:sz w:val="20"/>
                <w:szCs w:val="20"/>
              </w:rPr>
              <w:t>养老机构表 institution</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33E46E2">
            <w:pPr>
              <w:spacing w:line="280" w:lineRule="auto"/>
              <w:jc w:val="left"/>
            </w:pPr>
            <w:r>
              <w:rPr>
                <w:b w:val="0"/>
                <w:bCs w:val="0"/>
                <w:color w:val="333333"/>
                <w:sz w:val="20"/>
                <w:szCs w:val="20"/>
              </w:rPr>
              <w:t>inst_id、名称、床位、价格、资质、location</w:t>
            </w:r>
          </w:p>
        </w:tc>
        <w:tc>
          <w:tcPr>
            <w:tcW w:w="42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C09C0C7">
            <w:pPr>
              <w:spacing w:line="280" w:lineRule="auto"/>
              <w:jc w:val="left"/>
            </w:pPr>
            <w:r>
              <w:rPr>
                <w:b w:val="0"/>
                <w:bCs w:val="0"/>
                <w:color w:val="333333"/>
                <w:sz w:val="20"/>
                <w:szCs w:val="20"/>
              </w:rPr>
              <w:t>机构主档；location 为 geometry(Point)，建空间索引。</w:t>
            </w:r>
          </w:p>
        </w:tc>
      </w:tr>
      <w:tr w14:paraId="2B07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D8574E9">
            <w:pPr>
              <w:spacing w:line="280" w:lineRule="auto"/>
              <w:jc w:val="left"/>
            </w:pPr>
            <w:r>
              <w:rPr>
                <w:b w:val="0"/>
                <w:bCs w:val="0"/>
                <w:color w:val="333333"/>
                <w:sz w:val="20"/>
                <w:szCs w:val="20"/>
              </w:rPr>
              <w:t>POI 表 poi</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6DDD693">
            <w:pPr>
              <w:spacing w:line="280" w:lineRule="auto"/>
              <w:jc w:val="left"/>
            </w:pPr>
            <w:r>
              <w:rPr>
                <w:b w:val="0"/>
                <w:bCs w:val="0"/>
                <w:color w:val="333333"/>
                <w:sz w:val="20"/>
                <w:szCs w:val="20"/>
              </w:rPr>
              <w:t>poi_id、类别、子类、location</w:t>
            </w:r>
          </w:p>
        </w:tc>
        <w:tc>
          <w:tcPr>
            <w:tcW w:w="42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590D548">
            <w:pPr>
              <w:spacing w:line="280" w:lineRule="auto"/>
              <w:jc w:val="left"/>
            </w:pPr>
            <w:r>
              <w:rPr>
                <w:b w:val="0"/>
                <w:bCs w:val="0"/>
                <w:color w:val="333333"/>
                <w:sz w:val="20"/>
                <w:szCs w:val="20"/>
              </w:rPr>
              <w:t>医疗/生活/休闲/负面要素；支撑图层叠加与距离计算。</w:t>
            </w:r>
          </w:p>
        </w:tc>
      </w:tr>
      <w:tr w14:paraId="6964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B0539BF">
            <w:pPr>
              <w:spacing w:line="280" w:lineRule="auto"/>
              <w:jc w:val="left"/>
            </w:pPr>
            <w:r>
              <w:rPr>
                <w:b w:val="0"/>
                <w:bCs w:val="0"/>
                <w:color w:val="333333"/>
                <w:sz w:val="20"/>
                <w:szCs w:val="20"/>
              </w:rPr>
              <w:t>空间指数表 inst_index</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16E27E94">
            <w:pPr>
              <w:spacing w:line="280" w:lineRule="auto"/>
              <w:jc w:val="left"/>
            </w:pPr>
            <w:r>
              <w:rPr>
                <w:b w:val="0"/>
                <w:bCs w:val="0"/>
                <w:color w:val="333333"/>
                <w:sz w:val="20"/>
                <w:szCs w:val="20"/>
              </w:rPr>
              <w:t>inst_id、各分项指数、综合指数</w:t>
            </w:r>
          </w:p>
        </w:tc>
        <w:tc>
          <w:tcPr>
            <w:tcW w:w="42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20B2907A">
            <w:pPr>
              <w:spacing w:line="280" w:lineRule="auto"/>
              <w:jc w:val="left"/>
            </w:pPr>
            <w:r>
              <w:rPr>
                <w:b w:val="0"/>
                <w:bCs w:val="0"/>
                <w:color w:val="333333"/>
                <w:sz w:val="20"/>
                <w:szCs w:val="20"/>
              </w:rPr>
              <w:t>缓存 M2 计算结果，供推荐与雷达图快速读取。</w:t>
            </w:r>
          </w:p>
        </w:tc>
      </w:tr>
      <w:tr w14:paraId="230E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72EF3651">
            <w:pPr>
              <w:spacing w:line="280" w:lineRule="auto"/>
              <w:jc w:val="left"/>
            </w:pPr>
            <w:r>
              <w:rPr>
                <w:b w:val="0"/>
                <w:bCs w:val="0"/>
                <w:color w:val="333333"/>
                <w:sz w:val="20"/>
                <w:szCs w:val="20"/>
              </w:rPr>
              <w:t>评价表 review</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C6BEAA9">
            <w:pPr>
              <w:spacing w:line="280" w:lineRule="auto"/>
              <w:jc w:val="left"/>
            </w:pPr>
            <w:r>
              <w:rPr>
                <w:b w:val="0"/>
                <w:bCs w:val="0"/>
                <w:color w:val="333333"/>
                <w:sz w:val="20"/>
                <w:szCs w:val="20"/>
              </w:rPr>
              <w:t>review_id、user_id、多维评分、内容</w:t>
            </w:r>
          </w:p>
        </w:tc>
        <w:tc>
          <w:tcPr>
            <w:tcW w:w="42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4D3BA3DF">
            <w:pPr>
              <w:spacing w:line="280" w:lineRule="auto"/>
              <w:jc w:val="left"/>
            </w:pPr>
            <w:r>
              <w:rPr>
                <w:b w:val="0"/>
                <w:bCs w:val="0"/>
                <w:color w:val="333333"/>
                <w:sz w:val="20"/>
                <w:szCs w:val="20"/>
              </w:rPr>
              <w:t>UGC 评价与社区帖子，配合倒排索引检索。</w:t>
            </w:r>
          </w:p>
        </w:tc>
      </w:tr>
      <w:tr w14:paraId="099E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58A8A56C">
            <w:pPr>
              <w:spacing w:line="280" w:lineRule="auto"/>
              <w:jc w:val="left"/>
            </w:pPr>
            <w:r>
              <w:rPr>
                <w:b w:val="0"/>
                <w:bCs w:val="0"/>
                <w:color w:val="333333"/>
                <w:sz w:val="20"/>
                <w:szCs w:val="20"/>
              </w:rPr>
              <w:t>知识库向量表 kb_vector</w:t>
            </w:r>
          </w:p>
        </w:tc>
        <w:tc>
          <w:tcPr>
            <w:tcW w:w="260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6076E607">
            <w:pPr>
              <w:spacing w:line="280" w:lineRule="auto"/>
              <w:jc w:val="left"/>
            </w:pPr>
            <w:r>
              <w:rPr>
                <w:b w:val="0"/>
                <w:bCs w:val="0"/>
                <w:color w:val="333333"/>
                <w:sz w:val="20"/>
                <w:szCs w:val="20"/>
              </w:rPr>
              <w:t>chunk_id、文本、embedding 向量</w:t>
            </w:r>
          </w:p>
        </w:tc>
        <w:tc>
          <w:tcPr>
            <w:tcW w:w="4260" w:type="dxa"/>
            <w:tcBorders>
              <w:top w:val="single" w:color="BFBFBF" w:sz="4" w:space="0"/>
              <w:left w:val="single" w:color="BFBFBF" w:sz="4" w:space="0"/>
              <w:bottom w:val="single" w:color="BFBFBF" w:sz="4" w:space="0"/>
              <w:right w:val="single" w:color="BFBFBF" w:sz="4" w:space="0"/>
            </w:tcBorders>
            <w:shd w:val="clear" w:color="auto" w:fill="EAF1FA"/>
            <w:tcMar>
              <w:top w:w="60" w:type="dxa"/>
              <w:left w:w="110" w:type="dxa"/>
              <w:bottom w:w="60" w:type="dxa"/>
              <w:right w:w="110" w:type="dxa"/>
            </w:tcMar>
            <w:vAlign w:val="center"/>
          </w:tcPr>
          <w:p w14:paraId="058D66C4">
            <w:pPr>
              <w:spacing w:line="280" w:lineRule="auto"/>
              <w:jc w:val="left"/>
            </w:pPr>
            <w:r>
              <w:rPr>
                <w:b w:val="0"/>
                <w:bCs w:val="0"/>
                <w:color w:val="333333"/>
                <w:sz w:val="20"/>
                <w:szCs w:val="20"/>
              </w:rPr>
              <w:t>RAG 私有知识库；embedding 为 pgvector 类型。</w:t>
            </w:r>
          </w:p>
        </w:tc>
      </w:tr>
      <w:tr w14:paraId="2418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3F1FF19E">
            <w:pPr>
              <w:spacing w:line="280" w:lineRule="auto"/>
              <w:jc w:val="left"/>
            </w:pPr>
            <w:r>
              <w:rPr>
                <w:b w:val="0"/>
                <w:bCs w:val="0"/>
                <w:color w:val="333333"/>
                <w:sz w:val="20"/>
                <w:szCs w:val="20"/>
              </w:rPr>
              <w:t>街道单元表 town_unit</w:t>
            </w:r>
          </w:p>
        </w:tc>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05AB7FA7">
            <w:pPr>
              <w:spacing w:line="280" w:lineRule="auto"/>
              <w:jc w:val="left"/>
            </w:pPr>
            <w:r>
              <w:rPr>
                <w:b w:val="0"/>
                <w:bCs w:val="0"/>
                <w:color w:val="333333"/>
                <w:sz w:val="20"/>
                <w:szCs w:val="20"/>
              </w:rPr>
              <w:t>town_id、老年人口、床位数、geom</w:t>
            </w:r>
          </w:p>
        </w:tc>
        <w:tc>
          <w:tcPr>
            <w:tcW w:w="4260" w:type="dxa"/>
            <w:tcBorders>
              <w:top w:val="single" w:color="BFBFBF" w:sz="4" w:space="0"/>
              <w:left w:val="single" w:color="BFBFBF" w:sz="4" w:space="0"/>
              <w:bottom w:val="single" w:color="BFBFBF" w:sz="4" w:space="0"/>
              <w:right w:val="single" w:color="BFBFBF" w:sz="4" w:space="0"/>
            </w:tcBorders>
            <w:shd w:val="clear" w:color="auto" w:fill="FFFFFF"/>
            <w:tcMar>
              <w:top w:w="60" w:type="dxa"/>
              <w:left w:w="110" w:type="dxa"/>
              <w:bottom w:w="60" w:type="dxa"/>
              <w:right w:w="110" w:type="dxa"/>
            </w:tcMar>
            <w:vAlign w:val="center"/>
          </w:tcPr>
          <w:p w14:paraId="6213B073">
            <w:pPr>
              <w:spacing w:line="280" w:lineRule="auto"/>
              <w:jc w:val="left"/>
            </w:pPr>
            <w:r>
              <w:rPr>
                <w:b w:val="0"/>
                <w:bCs w:val="0"/>
                <w:color w:val="333333"/>
                <w:sz w:val="20"/>
                <w:szCs w:val="20"/>
              </w:rPr>
              <w:t>M3 四维评估的统计单元；geom 为 geometry(Polygon)。</w:t>
            </w:r>
          </w:p>
        </w:tc>
      </w:tr>
    </w:tbl>
    <w:p w14:paraId="07F3BBBF">
      <w:pPr>
        <w:spacing w:after="60"/>
      </w:pPr>
    </w:p>
    <w:p w14:paraId="7A3587ED">
      <w:pPr>
        <w:spacing w:after="120" w:line="360" w:lineRule="auto"/>
        <w:ind w:firstLine="420"/>
        <w:jc w:val="both"/>
      </w:pPr>
      <w:r>
        <w:t>说明：本功能模块设计基于项目立项书的总体架构与团队已有研究基础编制，各模块的算法细节、权重取值与阈值标定将在数据收集与原型开发阶段进一步迭代完善。</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A837D">
    <w:pPr>
      <w:jc w:val="center"/>
    </w:pPr>
    <w:r>
      <w:rPr>
        <w:color w:val="888888"/>
        <w:sz w:val="16"/>
        <w:szCs w:val="16"/>
      </w:rPr>
      <w:t xml:space="preserve">第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0703B">
    <w:pPr>
      <w:pBdr>
        <w:bottom w:val="single" w:color="BFBFBF" w:sz="4" w:space="2"/>
      </w:pBdr>
      <w:jc w:val="right"/>
    </w:pPr>
    <w:r>
      <w:rPr>
        <w:color w:val="888888"/>
        <w:sz w:val="16"/>
        <w:szCs w:val="16"/>
      </w:rPr>
      <w:t>养老服务智慧决策 WebGIS 平台 · 功能模块设计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EEF0B5"/>
    <w:multiLevelType w:val="multilevel"/>
    <w:tmpl w:val="6EEEF0B5"/>
    <w:lvl w:ilvl="0" w:tentative="0">
      <w:start w:val="1"/>
      <w:numFmt w:val="bullet"/>
      <w:lvlText w:val="●"/>
      <w:lvlJc w:val="left"/>
      <w:pPr>
        <w:ind w:left="720" w:hanging="360"/>
      </w:pPr>
      <w:rPr>
        <w:color w:val="2E75B6"/>
      </w:rPr>
    </w:lvl>
    <w:lvl w:ilvl="1" w:tentative="0">
      <w:start w:val="1"/>
      <w:numFmt w:val="bullet"/>
      <w:lvlText w:val="○"/>
      <w:lvlJc w:val="left"/>
      <w:pPr>
        <w:ind w:left="11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477212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333333"/>
      <w:sz w:val="21"/>
      <w:szCs w:val="21"/>
    </w:rPr>
  </w:style>
  <w:style w:type="paragraph" w:styleId="2">
    <w:name w:val="heading 1"/>
    <w:next w:val="1"/>
    <w:qFormat/>
    <w:uiPriority w:val="0"/>
    <w:pPr>
      <w:pBdr>
        <w:bottom w:val="single" w:color="1F4E79" w:sz="8" w:space="4"/>
      </w:pBdr>
      <w:spacing w:before="260" w:after="160"/>
      <w:outlineLvl w:val="0"/>
    </w:pPr>
    <w:rPr>
      <w:rFonts w:ascii="黑体" w:hAnsi="黑体" w:eastAsia="黑体" w:cs="黑体"/>
      <w:b/>
      <w:bCs/>
      <w:color w:val="1F4E79"/>
      <w:sz w:val="30"/>
      <w:szCs w:val="30"/>
    </w:rPr>
  </w:style>
  <w:style w:type="paragraph" w:styleId="3">
    <w:name w:val="heading 2"/>
    <w:next w:val="1"/>
    <w:qFormat/>
    <w:uiPriority w:val="0"/>
    <w:pPr>
      <w:spacing w:before="200" w:after="120"/>
      <w:outlineLvl w:val="1"/>
    </w:pPr>
    <w:rPr>
      <w:rFonts w:ascii="黑体" w:hAnsi="黑体" w:eastAsia="黑体" w:cs="黑体"/>
      <w:b/>
      <w:bCs/>
      <w:color w:val="2E75B6"/>
      <w:sz w:val="25"/>
      <w:szCs w:val="25"/>
    </w:rPr>
  </w:style>
  <w:style w:type="paragraph" w:styleId="4">
    <w:name w:val="heading 3"/>
    <w:next w:val="1"/>
    <w:qFormat/>
    <w:uiPriority w:val="0"/>
    <w:pPr>
      <w:spacing w:before="140" w:after="100"/>
      <w:outlineLvl w:val="2"/>
    </w:pPr>
    <w:rPr>
      <w:rFonts w:ascii="黑体" w:hAnsi="黑体" w:eastAsia="黑体" w:cs="黑体"/>
      <w:b/>
      <w:bCs/>
      <w:color w:val="333333"/>
      <w:sz w:val="22"/>
      <w:szCs w:val="22"/>
    </w:rPr>
  </w:style>
  <w:style w:type="paragraph" w:styleId="5">
    <w:name w:val="heading 4"/>
    <w:next w:val="1"/>
    <w:qFormat/>
    <w:uiPriority w:val="0"/>
    <w:rPr>
      <w:rFonts w:ascii="宋体" w:hAnsi="宋体" w:eastAsia="宋体" w:cs="宋体"/>
      <w:i/>
      <w:iCs/>
      <w:color w:val="2E74B5"/>
      <w:sz w:val="21"/>
      <w:szCs w:val="21"/>
    </w:rPr>
  </w:style>
  <w:style w:type="paragraph" w:styleId="6">
    <w:name w:val="heading 5"/>
    <w:next w:val="1"/>
    <w:qFormat/>
    <w:uiPriority w:val="0"/>
    <w:rPr>
      <w:rFonts w:ascii="宋体" w:hAnsi="宋体" w:eastAsia="宋体" w:cs="宋体"/>
      <w:color w:val="2E74B5"/>
      <w:sz w:val="21"/>
      <w:szCs w:val="21"/>
    </w:rPr>
  </w:style>
  <w:style w:type="paragraph" w:styleId="7">
    <w:name w:val="heading 6"/>
    <w:next w:val="1"/>
    <w:qFormat/>
    <w:uiPriority w:val="0"/>
    <w:rPr>
      <w:rFonts w:ascii="宋体" w:hAnsi="宋体" w:eastAsia="宋体" w:cs="宋体"/>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color w:val="333333"/>
      <w:sz w:val="20"/>
      <w:szCs w:val="20"/>
    </w:rPr>
  </w:style>
  <w:style w:type="paragraph" w:styleId="9">
    <w:name w:val="footnote text"/>
    <w:link w:val="17"/>
    <w:semiHidden/>
    <w:unhideWhenUsed/>
    <w:qFormat/>
    <w:uiPriority w:val="99"/>
    <w:pPr>
      <w:spacing w:after="0" w:line="240" w:lineRule="auto"/>
    </w:pPr>
    <w:rPr>
      <w:rFonts w:ascii="宋体" w:hAnsi="宋体" w:eastAsia="宋体" w:cs="宋体"/>
      <w:color w:val="333333"/>
      <w:sz w:val="20"/>
      <w:szCs w:val="20"/>
    </w:rPr>
  </w:style>
  <w:style w:type="paragraph" w:styleId="10">
    <w:name w:val="Title"/>
    <w:qFormat/>
    <w:uiPriority w:val="0"/>
    <w:rPr>
      <w:rFonts w:ascii="宋体" w:hAnsi="宋体" w:eastAsia="宋体" w:cs="宋体"/>
      <w:color w:val="333333"/>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color w:val="333333"/>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4130</Words>
  <Characters>4634</Characters>
  <TotalTime>8</TotalTime>
  <ScaleCrop>false</ScaleCrop>
  <LinksUpToDate>false</LinksUpToDate>
  <CharactersWithSpaces>4826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2026-06-24T02:08:00Z</dcterms:created>
  <dc:creator>项目团队</dc:creator>
  <cp:lastModifiedBy>Y⃠H⃠言辞温和</cp:lastModifiedBy>
  <dcterms:modified xsi:type="dcterms:W3CDTF">2026-06-24T02:20:24Z</dcterms:modified>
  <dc:title>养老服务智慧决策WebGIS平台 完整功能模块设计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eyJoZGlkIjoiMTZiZTBkNzMwZGIwZDQ5ZTRjOGU2MGJkNDVjYjgzMzYiLCJ1c2VySWQiOiIzNjIyNzM1NTcifQ==</vt:lpwstr>
  </property>
  <property fmtid="{D5CDD505-2E9C-101B-9397-08002B2CF9AE}" pid="3" name="KSOProductBuildVer">
    <vt:lpwstr>2052-12.1.0.26895</vt:lpwstr>
  </property>
  <property fmtid="{D5CDD505-2E9C-101B-9397-08002B2CF9AE}" pid="4" name="ICV">
    <vt:lpwstr>B529C92539B04E9F9026D2198F611DFA_12</vt:lpwstr>
  </property>
</Properties>
</file>