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A8D68">
      <w:pPr>
        <w:rPr>
          <w:rFonts w:hint="eastAsia"/>
        </w:rPr>
      </w:pPr>
      <w:r>
        <w:rPr>
          <w:rFonts w:hint="eastAsia"/>
        </w:rPr>
        <w:t>## 周边图层叠加（养老机构与周围环境互动）功能细化方案</w:t>
      </w:r>
    </w:p>
    <w:p w14:paraId="7C4BAE03">
      <w:pPr>
        <w:rPr>
          <w:rFonts w:hint="eastAsia"/>
        </w:rPr>
      </w:pPr>
      <w:r>
        <w:rPr>
          <w:rFonts w:hint="eastAsia"/>
        </w:rPr>
        <w:t>在立项书原有“周边环境图层叠加”功能（将城市公园、超市、污染源等POI数据矢量化并发布为独立图层，用户通过图层控制器自由勾选评估周边环境）的基础上，建议从以下五个维度进行功能深化与拓展：</w:t>
      </w:r>
    </w:p>
    <w:p w14:paraId="75D235DF">
      <w:pPr>
        <w:rPr>
          <w:rFonts w:hint="eastAsia"/>
        </w:rPr>
      </w:pPr>
    </w:p>
    <w:p w14:paraId="6A7D7E2E">
      <w:pPr>
        <w:rPr>
          <w:rFonts w:hint="eastAsia"/>
        </w:rPr>
      </w:pPr>
      <w:r>
        <w:rPr>
          <w:rFonts w:hint="eastAsia"/>
        </w:rPr>
        <w:t>### 一、医疗健康配套分析</w:t>
      </w:r>
    </w:p>
    <w:p w14:paraId="448CABAF">
      <w:pPr>
        <w:rPr>
          <w:rFonts w:hint="eastAsia"/>
        </w:rPr>
      </w:pPr>
    </w:p>
    <w:p w14:paraId="0EA6C77C">
      <w:pPr>
        <w:rPr>
          <w:rFonts w:hint="eastAsia" w:eastAsiaTheme="minorEastAsia"/>
          <w:color w:val="0000FF"/>
          <w:lang w:eastAsia="zh-CN"/>
        </w:rPr>
      </w:pPr>
      <w:r>
        <w:rPr>
          <w:rFonts w:hint="eastAsia"/>
          <w:color w:val="0000FF"/>
        </w:rPr>
        <w:t>**1. 医疗资源分级可达性分析**</w:t>
      </w:r>
    </w:p>
    <w:p w14:paraId="3BB1813E">
      <w:pPr>
        <w:rPr>
          <w:rFonts w:hint="eastAsia" w:eastAsiaTheme="minorEastAsia"/>
          <w:lang w:eastAsia="zh-CN"/>
        </w:rPr>
      </w:pPr>
      <w:r>
        <w:rPr>
          <w:rFonts w:hint="eastAsia"/>
          <w:lang w:val="en-US" w:eastAsia="zh-CN"/>
        </w:rPr>
        <w:t>1.</w:t>
      </w:r>
      <w:r>
        <w:rPr>
          <w:rFonts w:hint="eastAsia"/>
        </w:rPr>
        <w:t>在原有“医疗生命线分析”基础上，将周边医疗机构按</w:t>
      </w:r>
      <w:r>
        <w:rPr>
          <w:rFonts w:hint="eastAsia"/>
          <w:lang w:val="en-US" w:eastAsia="zh-CN"/>
        </w:rPr>
        <w:t>小类</w:t>
      </w:r>
      <w:r>
        <w:rPr>
          <w:rFonts w:hint="eastAsia"/>
        </w:rPr>
        <w:t>分层标注，并分别计算不同等级医疗资源到养老机构的距离与耗时</w:t>
      </w:r>
      <w:r>
        <w:rPr>
          <w:rFonts w:hint="eastAsia"/>
          <w:lang w:eastAsia="zh-CN"/>
        </w:rPr>
        <w:t>（</w:t>
      </w:r>
      <w:r>
        <w:rPr>
          <w:rFonts w:hint="eastAsia"/>
          <w:lang w:val="en-US" w:eastAsia="zh-CN"/>
        </w:rPr>
        <w:t>按照以下小类名称进行查询筛选出对应类别的医院并展示，图层上展示</w:t>
      </w:r>
      <w:r>
        <w:rPr>
          <w:rFonts w:hint="eastAsia"/>
          <w:lang w:eastAsia="zh-CN"/>
        </w:rPr>
        <w:t>）</w:t>
      </w:r>
    </w:p>
    <w:p w14:paraId="5B157CD6">
      <w:pPr>
        <w:rPr>
          <w:rFonts w:hint="eastAsia" w:eastAsiaTheme="minorEastAsia"/>
          <w:lang w:eastAsia="zh-CN"/>
        </w:rPr>
      </w:pPr>
      <w:r>
        <w:rPr>
          <w:rFonts w:hint="eastAsia"/>
          <w:lang w:val="en-US" w:eastAsia="zh-CN"/>
        </w:rPr>
        <w:t>2.根据</w:t>
      </w:r>
      <w:r>
        <w:rPr>
          <w:rFonts w:hint="eastAsia"/>
        </w:rPr>
        <w:t>“15分钟可达三甲医院</w:t>
      </w:r>
      <w:r>
        <w:rPr>
          <w:rFonts w:hint="eastAsia"/>
          <w:lang w:val="en-US" w:eastAsia="zh-CN"/>
        </w:rPr>
        <w:t>与综合医院数目</w:t>
      </w:r>
      <w:r>
        <w:rPr>
          <w:rFonts w:hint="eastAsia"/>
        </w:rPr>
        <w:t>”</w:t>
      </w:r>
      <w:r>
        <w:rPr>
          <w:rFonts w:hint="eastAsia"/>
          <w:lang w:val="en-US" w:eastAsia="zh-CN"/>
        </w:rPr>
        <w:t>生成医疗资源可达性指数字段（将所有机构的指数归一化成0-1之间）</w:t>
      </w:r>
      <w:r>
        <w:rPr>
          <w:rFonts w:hint="eastAsia"/>
        </w:rPr>
        <w:t>。</w:t>
      </w:r>
      <w:bookmarkStart w:id="0" w:name="_GoBack"/>
      <w:bookmarkEnd w:id="0"/>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08"/>
        <w:gridCol w:w="2932"/>
        <w:gridCol w:w="1208"/>
        <w:gridCol w:w="1784"/>
        <w:gridCol w:w="1390"/>
      </w:tblGrid>
      <w:tr w14:paraId="50AAD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208"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687B1527">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Segoe UI" w:hAnsi="Segoe UI" w:eastAsia="Segoe UI" w:cs="Segoe UI"/>
                <w:b/>
                <w:bCs/>
                <w:i w:val="0"/>
                <w:iCs w:val="0"/>
                <w:caps w:val="0"/>
                <w:spacing w:val="6"/>
                <w:sz w:val="16"/>
                <w:szCs w:val="16"/>
              </w:rPr>
            </w:pPr>
            <w:r>
              <w:rPr>
                <w:rFonts w:hint="default" w:ascii="Segoe UI" w:hAnsi="Segoe UI" w:eastAsia="Segoe UI" w:cs="Segoe UI"/>
                <w:b/>
                <w:bCs/>
                <w:i w:val="0"/>
                <w:iCs w:val="0"/>
                <w:caps w:val="0"/>
                <w:spacing w:val="6"/>
                <w:kern w:val="0"/>
                <w:sz w:val="16"/>
                <w:szCs w:val="16"/>
                <w:bdr w:val="none" w:color="auto" w:sz="0" w:space="0"/>
                <w:lang w:val="en-US" w:eastAsia="zh-CN" w:bidi="ar"/>
              </w:rPr>
              <w:t>序号</w:t>
            </w:r>
          </w:p>
        </w:tc>
        <w:tc>
          <w:tcPr>
            <w:tcW w:w="2932"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7BD5C850">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b/>
                <w:bCs/>
                <w:i w:val="0"/>
                <w:iCs w:val="0"/>
                <w:caps w:val="0"/>
                <w:spacing w:val="6"/>
                <w:sz w:val="16"/>
                <w:szCs w:val="16"/>
              </w:rPr>
            </w:pPr>
            <w:r>
              <w:rPr>
                <w:rFonts w:hint="default" w:ascii="Segoe UI" w:hAnsi="Segoe UI" w:eastAsia="Segoe UI" w:cs="Segoe UI"/>
                <w:b/>
                <w:bCs/>
                <w:i w:val="0"/>
                <w:iCs w:val="0"/>
                <w:caps w:val="0"/>
                <w:spacing w:val="6"/>
                <w:kern w:val="0"/>
                <w:sz w:val="16"/>
                <w:szCs w:val="16"/>
                <w:bdr w:val="none" w:color="auto" w:sz="0" w:space="0"/>
                <w:lang w:val="en-US" w:eastAsia="zh-CN" w:bidi="ar"/>
              </w:rPr>
              <w:t>小类名称</w:t>
            </w:r>
          </w:p>
        </w:tc>
        <w:tc>
          <w:tcPr>
            <w:tcW w:w="1208"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083410A3">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b/>
                <w:bCs/>
                <w:i w:val="0"/>
                <w:iCs w:val="0"/>
                <w:caps w:val="0"/>
                <w:spacing w:val="6"/>
                <w:sz w:val="16"/>
                <w:szCs w:val="16"/>
              </w:rPr>
            </w:pPr>
            <w:r>
              <w:rPr>
                <w:rFonts w:hint="default" w:ascii="Segoe UI" w:hAnsi="Segoe UI" w:eastAsia="Segoe UI" w:cs="Segoe UI"/>
                <w:b/>
                <w:bCs/>
                <w:i w:val="0"/>
                <w:iCs w:val="0"/>
                <w:caps w:val="0"/>
                <w:spacing w:val="6"/>
                <w:kern w:val="0"/>
                <w:sz w:val="16"/>
                <w:szCs w:val="16"/>
                <w:bdr w:val="none" w:color="auto" w:sz="0" w:space="0"/>
                <w:lang w:val="en-US" w:eastAsia="zh-CN" w:bidi="ar"/>
              </w:rPr>
              <w:t>数量</w:t>
            </w:r>
          </w:p>
        </w:tc>
        <w:tc>
          <w:tcPr>
            <w:tcW w:w="1784"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2E24C487">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b/>
                <w:bCs/>
                <w:i w:val="0"/>
                <w:iCs w:val="0"/>
                <w:caps w:val="0"/>
                <w:spacing w:val="6"/>
                <w:sz w:val="16"/>
                <w:szCs w:val="16"/>
              </w:rPr>
            </w:pPr>
            <w:r>
              <w:rPr>
                <w:rFonts w:hint="default" w:ascii="Segoe UI" w:hAnsi="Segoe UI" w:eastAsia="Segoe UI" w:cs="Segoe UI"/>
                <w:b/>
                <w:bCs/>
                <w:i w:val="0"/>
                <w:iCs w:val="0"/>
                <w:caps w:val="0"/>
                <w:spacing w:val="6"/>
                <w:kern w:val="0"/>
                <w:sz w:val="16"/>
                <w:szCs w:val="16"/>
                <w:bdr w:val="none" w:color="auto" w:sz="0" w:space="0"/>
                <w:lang w:val="en-US" w:eastAsia="zh-CN" w:bidi="ar"/>
              </w:rPr>
              <w:t>所属中类</w:t>
            </w:r>
          </w:p>
        </w:tc>
        <w:tc>
          <w:tcPr>
            <w:tcW w:w="1390" w:type="dxa"/>
            <w:tcBorders>
              <w:top w:val="single" w:color="auto" w:sz="12" w:space="0"/>
              <w:left w:val="nil"/>
              <w:bottom w:val="nil"/>
              <w:right w:val="nil"/>
            </w:tcBorders>
            <w:shd w:val="clear" w:color="auto" w:fill="FFFFFF"/>
            <w:noWrap w:val="0"/>
            <w:tcMar>
              <w:top w:w="120" w:type="dxa"/>
              <w:left w:w="192" w:type="dxa"/>
              <w:bottom w:w="120" w:type="dxa"/>
              <w:right w:w="192" w:type="dxa"/>
            </w:tcMar>
            <w:vAlign w:val="center"/>
          </w:tcPr>
          <w:p w14:paraId="5006C108">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b/>
                <w:bCs/>
                <w:i w:val="0"/>
                <w:iCs w:val="0"/>
                <w:caps w:val="0"/>
                <w:spacing w:val="6"/>
                <w:sz w:val="16"/>
                <w:szCs w:val="16"/>
              </w:rPr>
            </w:pPr>
            <w:r>
              <w:rPr>
                <w:rFonts w:hint="default" w:ascii="Segoe UI" w:hAnsi="Segoe UI" w:eastAsia="Segoe UI" w:cs="Segoe UI"/>
                <w:b/>
                <w:bCs/>
                <w:i w:val="0"/>
                <w:iCs w:val="0"/>
                <w:caps w:val="0"/>
                <w:spacing w:val="6"/>
                <w:kern w:val="0"/>
                <w:sz w:val="16"/>
                <w:szCs w:val="16"/>
                <w:bdr w:val="none" w:color="auto" w:sz="0" w:space="0"/>
                <w:lang w:val="en-US" w:eastAsia="zh-CN" w:bidi="ar"/>
              </w:rPr>
              <w:t>占比</w:t>
            </w:r>
          </w:p>
        </w:tc>
      </w:tr>
      <w:tr w14:paraId="77CEE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08"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7A08FAE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1</w:t>
            </w:r>
          </w:p>
        </w:tc>
        <w:tc>
          <w:tcPr>
            <w:tcW w:w="2932"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00A4E36E">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6"/>
                <w:sz w:val="16"/>
                <w:szCs w:val="16"/>
              </w:rPr>
            </w:pPr>
            <w:r>
              <w:rPr>
                <w:rStyle w:val="4"/>
                <w:rFonts w:hint="default" w:ascii="Segoe UI" w:hAnsi="Segoe UI" w:eastAsia="Segoe UI" w:cs="Segoe UI"/>
                <w:b/>
                <w:bCs/>
                <w:i w:val="0"/>
                <w:iCs w:val="0"/>
                <w:caps w:val="0"/>
                <w:spacing w:val="6"/>
                <w:kern w:val="0"/>
                <w:sz w:val="16"/>
                <w:szCs w:val="16"/>
                <w:bdr w:val="none" w:color="auto" w:sz="0" w:space="0"/>
                <w:vertAlign w:val="baseline"/>
                <w:lang w:val="en-US" w:eastAsia="zh-CN" w:bidi="ar"/>
              </w:rPr>
              <w:t>口腔医院</w:t>
            </w:r>
          </w:p>
        </w:tc>
        <w:tc>
          <w:tcPr>
            <w:tcW w:w="1208"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0301AA09">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873</w:t>
            </w:r>
          </w:p>
        </w:tc>
        <w:tc>
          <w:tcPr>
            <w:tcW w:w="1784"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1334466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专科医院</w:t>
            </w:r>
          </w:p>
        </w:tc>
        <w:tc>
          <w:tcPr>
            <w:tcW w:w="1390" w:type="dxa"/>
            <w:tcBorders>
              <w:top w:val="single" w:color="auto" w:sz="4" w:space="0"/>
              <w:left w:val="nil"/>
              <w:bottom w:val="nil"/>
              <w:right w:val="nil"/>
            </w:tcBorders>
            <w:shd w:val="clear" w:color="auto" w:fill="FFFFFF"/>
            <w:noWrap w:val="0"/>
            <w:tcMar>
              <w:top w:w="120" w:type="dxa"/>
              <w:left w:w="192" w:type="dxa"/>
              <w:bottom w:w="120" w:type="dxa"/>
              <w:right w:w="192" w:type="dxa"/>
            </w:tcMar>
            <w:vAlign w:val="center"/>
          </w:tcPr>
          <w:p w14:paraId="3DB5F1FB">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31.7%</w:t>
            </w:r>
          </w:p>
        </w:tc>
      </w:tr>
      <w:tr w14:paraId="551F6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910B268">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2</w:t>
            </w:r>
          </w:p>
        </w:tc>
        <w:tc>
          <w:tcPr>
            <w:tcW w:w="293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0ACC36D">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6"/>
                <w:sz w:val="16"/>
                <w:szCs w:val="16"/>
              </w:rPr>
            </w:pPr>
            <w:r>
              <w:rPr>
                <w:rStyle w:val="4"/>
                <w:rFonts w:hint="default" w:ascii="Segoe UI" w:hAnsi="Segoe UI" w:eastAsia="Segoe UI" w:cs="Segoe UI"/>
                <w:b/>
                <w:bCs/>
                <w:i w:val="0"/>
                <w:iCs w:val="0"/>
                <w:caps w:val="0"/>
                <w:spacing w:val="6"/>
                <w:kern w:val="0"/>
                <w:sz w:val="16"/>
                <w:szCs w:val="16"/>
                <w:bdr w:val="none" w:color="auto" w:sz="0" w:space="0"/>
                <w:vertAlign w:val="baseline"/>
                <w:lang w:val="en-US" w:eastAsia="zh-CN" w:bidi="ar"/>
              </w:rPr>
              <w:t>卫生院</w:t>
            </w:r>
          </w:p>
        </w:tc>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C54871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610</w:t>
            </w:r>
          </w:p>
        </w:tc>
        <w:tc>
          <w:tcPr>
            <w:tcW w:w="1784"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BA1FF8B">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综合医院</w:t>
            </w:r>
          </w:p>
        </w:tc>
        <w:tc>
          <w:tcPr>
            <w:tcW w:w="139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28FA055">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22.1%</w:t>
            </w:r>
          </w:p>
        </w:tc>
      </w:tr>
      <w:tr w14:paraId="562BB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F12EB26">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3</w:t>
            </w:r>
          </w:p>
        </w:tc>
        <w:tc>
          <w:tcPr>
            <w:tcW w:w="293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E3171E7">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6"/>
                <w:sz w:val="16"/>
                <w:szCs w:val="16"/>
              </w:rPr>
            </w:pPr>
            <w:r>
              <w:rPr>
                <w:rStyle w:val="4"/>
                <w:rFonts w:hint="default" w:ascii="Segoe UI" w:hAnsi="Segoe UI" w:eastAsia="Segoe UI" w:cs="Segoe UI"/>
                <w:b/>
                <w:bCs/>
                <w:i w:val="0"/>
                <w:iCs w:val="0"/>
                <w:caps w:val="0"/>
                <w:spacing w:val="6"/>
                <w:kern w:val="0"/>
                <w:sz w:val="16"/>
                <w:szCs w:val="16"/>
                <w:bdr w:val="none" w:color="auto" w:sz="0" w:space="0"/>
                <w:vertAlign w:val="baseline"/>
                <w:lang w:val="en-US" w:eastAsia="zh-CN" w:bidi="ar"/>
              </w:rPr>
              <w:t>三级甲等医院</w:t>
            </w:r>
          </w:p>
        </w:tc>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25542F6">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506</w:t>
            </w:r>
          </w:p>
        </w:tc>
        <w:tc>
          <w:tcPr>
            <w:tcW w:w="1784"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46BF73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综合医院</w:t>
            </w:r>
          </w:p>
        </w:tc>
        <w:tc>
          <w:tcPr>
            <w:tcW w:w="139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C2B2DAF">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18.4%</w:t>
            </w:r>
          </w:p>
        </w:tc>
      </w:tr>
      <w:tr w14:paraId="7D938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0C74C5B">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4</w:t>
            </w:r>
          </w:p>
        </w:tc>
        <w:tc>
          <w:tcPr>
            <w:tcW w:w="293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E5EC3BD">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6"/>
                <w:sz w:val="16"/>
                <w:szCs w:val="16"/>
              </w:rPr>
            </w:pPr>
            <w:r>
              <w:rPr>
                <w:rStyle w:val="4"/>
                <w:rFonts w:hint="default" w:ascii="Segoe UI" w:hAnsi="Segoe UI" w:eastAsia="Segoe UI" w:cs="Segoe UI"/>
                <w:b/>
                <w:bCs/>
                <w:i w:val="0"/>
                <w:iCs w:val="0"/>
                <w:caps w:val="0"/>
                <w:spacing w:val="6"/>
                <w:kern w:val="0"/>
                <w:sz w:val="16"/>
                <w:szCs w:val="16"/>
                <w:bdr w:val="none" w:color="auto" w:sz="0" w:space="0"/>
                <w:vertAlign w:val="baseline"/>
                <w:lang w:val="en-US" w:eastAsia="zh-CN" w:bidi="ar"/>
              </w:rPr>
              <w:t>综合医院</w:t>
            </w:r>
          </w:p>
        </w:tc>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8457BD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456</w:t>
            </w:r>
          </w:p>
        </w:tc>
        <w:tc>
          <w:tcPr>
            <w:tcW w:w="1784"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E13C03B">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综合医院</w:t>
            </w:r>
          </w:p>
        </w:tc>
        <w:tc>
          <w:tcPr>
            <w:tcW w:w="139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8F238C8">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16.5%</w:t>
            </w:r>
          </w:p>
        </w:tc>
      </w:tr>
      <w:tr w14:paraId="0FC5E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5CB5E87">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5</w:t>
            </w:r>
          </w:p>
        </w:tc>
        <w:tc>
          <w:tcPr>
            <w:tcW w:w="293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6B6FD28">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6"/>
                <w:sz w:val="16"/>
                <w:szCs w:val="16"/>
              </w:rPr>
            </w:pPr>
            <w:r>
              <w:rPr>
                <w:rStyle w:val="4"/>
                <w:rFonts w:hint="default" w:ascii="Segoe UI" w:hAnsi="Segoe UI" w:eastAsia="Segoe UI" w:cs="Segoe UI"/>
                <w:b/>
                <w:bCs/>
                <w:i w:val="0"/>
                <w:iCs w:val="0"/>
                <w:caps w:val="0"/>
                <w:spacing w:val="6"/>
                <w:kern w:val="0"/>
                <w:sz w:val="16"/>
                <w:szCs w:val="16"/>
                <w:bdr w:val="none" w:color="auto" w:sz="0" w:space="0"/>
                <w:vertAlign w:val="baseline"/>
                <w:lang w:val="en-US" w:eastAsia="zh-CN" w:bidi="ar"/>
              </w:rPr>
              <w:t>专科医院</w:t>
            </w:r>
          </w:p>
        </w:tc>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841ECC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139</w:t>
            </w:r>
          </w:p>
        </w:tc>
        <w:tc>
          <w:tcPr>
            <w:tcW w:w="1784"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A46CFB6">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专科医院</w:t>
            </w:r>
          </w:p>
        </w:tc>
        <w:tc>
          <w:tcPr>
            <w:tcW w:w="139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EA5ECFB">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5.0%</w:t>
            </w:r>
          </w:p>
        </w:tc>
      </w:tr>
      <w:tr w14:paraId="0AA05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0677B1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6</w:t>
            </w:r>
          </w:p>
        </w:tc>
        <w:tc>
          <w:tcPr>
            <w:tcW w:w="293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A8CED2E">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6"/>
                <w:sz w:val="16"/>
                <w:szCs w:val="16"/>
              </w:rPr>
            </w:pPr>
            <w:r>
              <w:rPr>
                <w:rStyle w:val="4"/>
                <w:rFonts w:hint="default" w:ascii="Segoe UI" w:hAnsi="Segoe UI" w:eastAsia="Segoe UI" w:cs="Segoe UI"/>
                <w:b/>
                <w:bCs/>
                <w:i w:val="0"/>
                <w:iCs w:val="0"/>
                <w:caps w:val="0"/>
                <w:spacing w:val="6"/>
                <w:kern w:val="0"/>
                <w:sz w:val="16"/>
                <w:szCs w:val="16"/>
                <w:bdr w:val="none" w:color="auto" w:sz="0" w:space="0"/>
                <w:vertAlign w:val="baseline"/>
                <w:lang w:val="en-US" w:eastAsia="zh-CN" w:bidi="ar"/>
              </w:rPr>
              <w:t>眼科医院</w:t>
            </w:r>
          </w:p>
        </w:tc>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F726578">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62</w:t>
            </w:r>
          </w:p>
        </w:tc>
        <w:tc>
          <w:tcPr>
            <w:tcW w:w="1784"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A03A8B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专科医院</w:t>
            </w:r>
          </w:p>
        </w:tc>
        <w:tc>
          <w:tcPr>
            <w:tcW w:w="139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6682B20">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2.2%</w:t>
            </w:r>
          </w:p>
        </w:tc>
      </w:tr>
      <w:tr w14:paraId="0952C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DA2540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7</w:t>
            </w:r>
          </w:p>
        </w:tc>
        <w:tc>
          <w:tcPr>
            <w:tcW w:w="293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81C56DF">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6"/>
                <w:sz w:val="16"/>
                <w:szCs w:val="16"/>
              </w:rPr>
            </w:pPr>
            <w:r>
              <w:rPr>
                <w:rStyle w:val="4"/>
                <w:rFonts w:hint="default" w:ascii="Segoe UI" w:hAnsi="Segoe UI" w:eastAsia="Segoe UI" w:cs="Segoe UI"/>
                <w:b/>
                <w:bCs/>
                <w:i w:val="0"/>
                <w:iCs w:val="0"/>
                <w:caps w:val="0"/>
                <w:spacing w:val="6"/>
                <w:kern w:val="0"/>
                <w:sz w:val="16"/>
                <w:szCs w:val="16"/>
                <w:bdr w:val="none" w:color="auto" w:sz="0" w:space="0"/>
                <w:vertAlign w:val="baseline"/>
                <w:lang w:val="en-US" w:eastAsia="zh-CN" w:bidi="ar"/>
              </w:rPr>
              <w:t>骨科医院</w:t>
            </w:r>
          </w:p>
        </w:tc>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B4B915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31</w:t>
            </w:r>
          </w:p>
        </w:tc>
        <w:tc>
          <w:tcPr>
            <w:tcW w:w="1784"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50914C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专科医院</w:t>
            </w:r>
          </w:p>
        </w:tc>
        <w:tc>
          <w:tcPr>
            <w:tcW w:w="139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083D9DE">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1.1%</w:t>
            </w:r>
          </w:p>
        </w:tc>
      </w:tr>
      <w:tr w14:paraId="2E1F8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35EC494">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8</w:t>
            </w:r>
          </w:p>
        </w:tc>
        <w:tc>
          <w:tcPr>
            <w:tcW w:w="293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1CA4D73">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6"/>
                <w:sz w:val="16"/>
                <w:szCs w:val="16"/>
              </w:rPr>
            </w:pPr>
            <w:r>
              <w:rPr>
                <w:rStyle w:val="4"/>
                <w:rFonts w:hint="default" w:ascii="Segoe UI" w:hAnsi="Segoe UI" w:eastAsia="Segoe UI" w:cs="Segoe UI"/>
                <w:b/>
                <w:bCs/>
                <w:i w:val="0"/>
                <w:iCs w:val="0"/>
                <w:caps w:val="0"/>
                <w:spacing w:val="6"/>
                <w:kern w:val="0"/>
                <w:sz w:val="16"/>
                <w:szCs w:val="16"/>
                <w:bdr w:val="none" w:color="auto" w:sz="0" w:space="0"/>
                <w:vertAlign w:val="baseline"/>
                <w:lang w:val="en-US" w:eastAsia="zh-CN" w:bidi="ar"/>
              </w:rPr>
              <w:t>脑科医院</w:t>
            </w:r>
          </w:p>
        </w:tc>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346B90C">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26</w:t>
            </w:r>
          </w:p>
        </w:tc>
        <w:tc>
          <w:tcPr>
            <w:tcW w:w="1784"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109702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专科医院</w:t>
            </w:r>
          </w:p>
        </w:tc>
        <w:tc>
          <w:tcPr>
            <w:tcW w:w="139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3C449DC">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0.9%</w:t>
            </w:r>
          </w:p>
        </w:tc>
      </w:tr>
      <w:tr w14:paraId="2CAD1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69B17F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9</w:t>
            </w:r>
          </w:p>
        </w:tc>
        <w:tc>
          <w:tcPr>
            <w:tcW w:w="293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CE14E40">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6"/>
                <w:sz w:val="16"/>
                <w:szCs w:val="16"/>
              </w:rPr>
            </w:pPr>
            <w:r>
              <w:rPr>
                <w:rStyle w:val="4"/>
                <w:rFonts w:hint="default" w:ascii="Segoe UI" w:hAnsi="Segoe UI" w:eastAsia="Segoe UI" w:cs="Segoe UI"/>
                <w:b/>
                <w:bCs/>
                <w:i w:val="0"/>
                <w:iCs w:val="0"/>
                <w:caps w:val="0"/>
                <w:spacing w:val="6"/>
                <w:kern w:val="0"/>
                <w:sz w:val="16"/>
                <w:szCs w:val="16"/>
                <w:bdr w:val="none" w:color="auto" w:sz="0" w:space="0"/>
                <w:vertAlign w:val="baseline"/>
                <w:lang w:val="en-US" w:eastAsia="zh-CN" w:bidi="ar"/>
              </w:rPr>
              <w:t>妇科医院</w:t>
            </w:r>
          </w:p>
        </w:tc>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23093F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15</w:t>
            </w:r>
          </w:p>
        </w:tc>
        <w:tc>
          <w:tcPr>
            <w:tcW w:w="1784"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104C5AC">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专科医院</w:t>
            </w:r>
          </w:p>
        </w:tc>
        <w:tc>
          <w:tcPr>
            <w:tcW w:w="139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00AFE63">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0.5%</w:t>
            </w:r>
          </w:p>
        </w:tc>
      </w:tr>
      <w:tr w14:paraId="4F501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86208E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10</w:t>
            </w:r>
          </w:p>
        </w:tc>
        <w:tc>
          <w:tcPr>
            <w:tcW w:w="293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311CDC5">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6"/>
                <w:sz w:val="16"/>
                <w:szCs w:val="16"/>
              </w:rPr>
            </w:pPr>
            <w:r>
              <w:rPr>
                <w:rStyle w:val="4"/>
                <w:rFonts w:hint="default" w:ascii="Segoe UI" w:hAnsi="Segoe UI" w:eastAsia="Segoe UI" w:cs="Segoe UI"/>
                <w:b/>
                <w:bCs/>
                <w:i w:val="0"/>
                <w:iCs w:val="0"/>
                <w:caps w:val="0"/>
                <w:spacing w:val="6"/>
                <w:kern w:val="0"/>
                <w:sz w:val="16"/>
                <w:szCs w:val="16"/>
                <w:bdr w:val="none" w:color="auto" w:sz="0" w:space="0"/>
                <w:vertAlign w:val="baseline"/>
                <w:lang w:val="en-US" w:eastAsia="zh-CN" w:bidi="ar"/>
              </w:rPr>
              <w:t>胸科医院</w:t>
            </w:r>
          </w:p>
        </w:tc>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D44AC40">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12</w:t>
            </w:r>
          </w:p>
        </w:tc>
        <w:tc>
          <w:tcPr>
            <w:tcW w:w="1784"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083773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专科医院</w:t>
            </w:r>
          </w:p>
        </w:tc>
        <w:tc>
          <w:tcPr>
            <w:tcW w:w="139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A32C29D">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0.4%</w:t>
            </w:r>
          </w:p>
        </w:tc>
      </w:tr>
      <w:tr w14:paraId="71BDE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4DDFF61">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11</w:t>
            </w:r>
          </w:p>
        </w:tc>
        <w:tc>
          <w:tcPr>
            <w:tcW w:w="293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24B50FE">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6"/>
                <w:sz w:val="16"/>
                <w:szCs w:val="16"/>
              </w:rPr>
            </w:pPr>
            <w:r>
              <w:rPr>
                <w:rStyle w:val="4"/>
                <w:rFonts w:hint="default" w:ascii="Segoe UI" w:hAnsi="Segoe UI" w:eastAsia="Segoe UI" w:cs="Segoe UI"/>
                <w:b/>
                <w:bCs/>
                <w:i w:val="0"/>
                <w:iCs w:val="0"/>
                <w:caps w:val="0"/>
                <w:spacing w:val="6"/>
                <w:kern w:val="0"/>
                <w:sz w:val="16"/>
                <w:szCs w:val="16"/>
                <w:bdr w:val="none" w:color="auto" w:sz="0" w:space="0"/>
                <w:vertAlign w:val="baseline"/>
                <w:lang w:val="en-US" w:eastAsia="zh-CN" w:bidi="ar"/>
              </w:rPr>
              <w:t>肿瘤医院</w:t>
            </w:r>
          </w:p>
        </w:tc>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CCE0E1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11</w:t>
            </w:r>
          </w:p>
        </w:tc>
        <w:tc>
          <w:tcPr>
            <w:tcW w:w="1784" w:type="dxa"/>
            <w:tcBorders>
              <w:top w:val="nil"/>
              <w:left w:val="nil"/>
              <w:bottom w:val="nil"/>
              <w:right w:val="nil"/>
            </w:tcBorders>
            <w:shd w:val="clear" w:color="auto" w:fill="FFFFFF"/>
            <w:noWrap w:val="0"/>
            <w:tcMar>
              <w:top w:w="120" w:type="dxa"/>
              <w:left w:w="192" w:type="dxa"/>
              <w:bottom w:w="120" w:type="dxa"/>
              <w:right w:w="192" w:type="dxa"/>
            </w:tcMar>
            <w:vAlign w:val="center"/>
          </w:tcPr>
          <w:p w14:paraId="7E488D4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专科医院</w:t>
            </w:r>
          </w:p>
        </w:tc>
        <w:tc>
          <w:tcPr>
            <w:tcW w:w="139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244F7D1">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0.4%</w:t>
            </w:r>
          </w:p>
        </w:tc>
      </w:tr>
      <w:tr w14:paraId="0407C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343502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12</w:t>
            </w:r>
          </w:p>
        </w:tc>
        <w:tc>
          <w:tcPr>
            <w:tcW w:w="293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3BA85AEE">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6"/>
                <w:sz w:val="16"/>
                <w:szCs w:val="16"/>
              </w:rPr>
            </w:pPr>
            <w:r>
              <w:rPr>
                <w:rStyle w:val="4"/>
                <w:rFonts w:hint="default" w:ascii="Segoe UI" w:hAnsi="Segoe UI" w:eastAsia="Segoe UI" w:cs="Segoe UI"/>
                <w:b/>
                <w:bCs/>
                <w:i w:val="0"/>
                <w:iCs w:val="0"/>
                <w:caps w:val="0"/>
                <w:spacing w:val="6"/>
                <w:kern w:val="0"/>
                <w:sz w:val="16"/>
                <w:szCs w:val="16"/>
                <w:bdr w:val="none" w:color="auto" w:sz="0" w:space="0"/>
                <w:vertAlign w:val="baseline"/>
                <w:lang w:val="en-US" w:eastAsia="zh-CN" w:bidi="ar"/>
              </w:rPr>
              <w:t>耳鼻喉医院</w:t>
            </w:r>
          </w:p>
        </w:tc>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7E4DEF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6</w:t>
            </w:r>
          </w:p>
        </w:tc>
        <w:tc>
          <w:tcPr>
            <w:tcW w:w="1784"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280D7C0">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专科医院</w:t>
            </w:r>
          </w:p>
        </w:tc>
        <w:tc>
          <w:tcPr>
            <w:tcW w:w="139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E3BC1C4">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0.2%</w:t>
            </w:r>
          </w:p>
        </w:tc>
      </w:tr>
      <w:tr w14:paraId="2CCA4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2426F0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13</w:t>
            </w:r>
          </w:p>
        </w:tc>
        <w:tc>
          <w:tcPr>
            <w:tcW w:w="293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6F52C143">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6"/>
                <w:sz w:val="16"/>
                <w:szCs w:val="16"/>
              </w:rPr>
            </w:pPr>
            <w:r>
              <w:rPr>
                <w:rStyle w:val="4"/>
                <w:rFonts w:hint="default" w:ascii="Segoe UI" w:hAnsi="Segoe UI" w:eastAsia="Segoe UI" w:cs="Segoe UI"/>
                <w:b/>
                <w:bCs/>
                <w:i w:val="0"/>
                <w:iCs w:val="0"/>
                <w:caps w:val="0"/>
                <w:spacing w:val="6"/>
                <w:kern w:val="0"/>
                <w:sz w:val="16"/>
                <w:szCs w:val="16"/>
                <w:bdr w:val="none" w:color="auto" w:sz="0" w:space="0"/>
                <w:vertAlign w:val="baseline"/>
                <w:lang w:val="en-US" w:eastAsia="zh-CN" w:bidi="ar"/>
              </w:rPr>
              <w:t>精神病医院</w:t>
            </w:r>
          </w:p>
        </w:tc>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25E887DB">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4</w:t>
            </w:r>
          </w:p>
        </w:tc>
        <w:tc>
          <w:tcPr>
            <w:tcW w:w="1784"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C10F93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专科医院</w:t>
            </w:r>
          </w:p>
        </w:tc>
        <w:tc>
          <w:tcPr>
            <w:tcW w:w="139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F8829B0">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0.1%</w:t>
            </w:r>
          </w:p>
        </w:tc>
      </w:tr>
      <w:tr w14:paraId="316C5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0CD697FC">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14</w:t>
            </w:r>
          </w:p>
        </w:tc>
        <w:tc>
          <w:tcPr>
            <w:tcW w:w="2932"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E1A7B2D">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6"/>
                <w:sz w:val="16"/>
                <w:szCs w:val="16"/>
              </w:rPr>
            </w:pPr>
            <w:r>
              <w:rPr>
                <w:rStyle w:val="4"/>
                <w:rFonts w:hint="default" w:ascii="Segoe UI" w:hAnsi="Segoe UI" w:eastAsia="Segoe UI" w:cs="Segoe UI"/>
                <w:b/>
                <w:bCs/>
                <w:i w:val="0"/>
                <w:iCs w:val="0"/>
                <w:caps w:val="0"/>
                <w:spacing w:val="6"/>
                <w:kern w:val="0"/>
                <w:sz w:val="16"/>
                <w:szCs w:val="16"/>
                <w:bdr w:val="none" w:color="auto" w:sz="0" w:space="0"/>
                <w:vertAlign w:val="baseline"/>
                <w:lang w:val="en-US" w:eastAsia="zh-CN" w:bidi="ar"/>
              </w:rPr>
              <w:t>传染病医院</w:t>
            </w:r>
          </w:p>
        </w:tc>
        <w:tc>
          <w:tcPr>
            <w:tcW w:w="1208" w:type="dxa"/>
            <w:tcBorders>
              <w:top w:val="nil"/>
              <w:left w:val="nil"/>
              <w:bottom w:val="nil"/>
              <w:right w:val="nil"/>
            </w:tcBorders>
            <w:shd w:val="clear" w:color="auto" w:fill="FFFFFF"/>
            <w:noWrap w:val="0"/>
            <w:tcMar>
              <w:top w:w="120" w:type="dxa"/>
              <w:left w:w="192" w:type="dxa"/>
              <w:bottom w:w="120" w:type="dxa"/>
              <w:right w:w="192" w:type="dxa"/>
            </w:tcMar>
            <w:vAlign w:val="center"/>
          </w:tcPr>
          <w:p w14:paraId="4503C2E1">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2</w:t>
            </w:r>
          </w:p>
        </w:tc>
        <w:tc>
          <w:tcPr>
            <w:tcW w:w="1784" w:type="dxa"/>
            <w:tcBorders>
              <w:top w:val="nil"/>
              <w:left w:val="nil"/>
              <w:bottom w:val="nil"/>
              <w:right w:val="nil"/>
            </w:tcBorders>
            <w:shd w:val="clear" w:color="auto" w:fill="FFFFFF"/>
            <w:noWrap w:val="0"/>
            <w:tcMar>
              <w:top w:w="120" w:type="dxa"/>
              <w:left w:w="192" w:type="dxa"/>
              <w:bottom w:w="120" w:type="dxa"/>
              <w:right w:w="192" w:type="dxa"/>
            </w:tcMar>
            <w:vAlign w:val="center"/>
          </w:tcPr>
          <w:p w14:paraId="128208D2">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专科医院</w:t>
            </w:r>
          </w:p>
        </w:tc>
        <w:tc>
          <w:tcPr>
            <w:tcW w:w="1390" w:type="dxa"/>
            <w:tcBorders>
              <w:top w:val="nil"/>
              <w:left w:val="nil"/>
              <w:bottom w:val="nil"/>
              <w:right w:val="nil"/>
            </w:tcBorders>
            <w:shd w:val="clear" w:color="auto" w:fill="FFFFFF"/>
            <w:noWrap w:val="0"/>
            <w:tcMar>
              <w:top w:w="120" w:type="dxa"/>
              <w:left w:w="192" w:type="dxa"/>
              <w:bottom w:w="120" w:type="dxa"/>
              <w:right w:w="192" w:type="dxa"/>
            </w:tcMar>
            <w:vAlign w:val="center"/>
          </w:tcPr>
          <w:p w14:paraId="5E6DC7C5">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Segoe UI" w:hAnsi="Segoe UI" w:eastAsia="Segoe UI" w:cs="Segoe UI"/>
                <w:i w:val="0"/>
                <w:iCs w:val="0"/>
                <w:caps w:val="0"/>
                <w:spacing w:val="6"/>
                <w:sz w:val="16"/>
                <w:szCs w:val="16"/>
              </w:rPr>
            </w:pPr>
            <w:r>
              <w:rPr>
                <w:rFonts w:hint="default" w:ascii="Segoe UI" w:hAnsi="Segoe UI" w:eastAsia="Segoe UI" w:cs="Segoe UI"/>
                <w:i w:val="0"/>
                <w:iCs w:val="0"/>
                <w:caps w:val="0"/>
                <w:spacing w:val="6"/>
                <w:kern w:val="0"/>
                <w:sz w:val="16"/>
                <w:szCs w:val="16"/>
                <w:bdr w:val="none" w:color="auto" w:sz="0" w:space="0"/>
                <w:lang w:val="en-US" w:eastAsia="zh-CN" w:bidi="ar"/>
              </w:rPr>
              <w:t>0.1%</w:t>
            </w:r>
          </w:p>
        </w:tc>
      </w:tr>
    </w:tbl>
    <w:p w14:paraId="6CD23C4A">
      <w:pPr>
        <w:rPr>
          <w:rFonts w:hint="eastAsia"/>
        </w:rPr>
      </w:pPr>
    </w:p>
    <w:p w14:paraId="44E3A44A">
      <w:pPr>
        <w:rPr>
          <w:rFonts w:hint="eastAsia"/>
        </w:rPr>
      </w:pPr>
    </w:p>
    <w:p w14:paraId="3CC5A7B1">
      <w:pPr>
        <w:rPr>
          <w:rFonts w:hint="eastAsia"/>
          <w:color w:val="0000FF"/>
        </w:rPr>
      </w:pPr>
      <w:r>
        <w:rPr>
          <w:rFonts w:hint="eastAsia"/>
          <w:color w:val="0000FF"/>
        </w:rPr>
        <w:t>**2. 急救响应能力评估**</w:t>
      </w:r>
    </w:p>
    <w:p w14:paraId="4C15CD0A">
      <w:pPr>
        <w:rPr>
          <w:rFonts w:hint="default" w:eastAsiaTheme="minorEastAsia"/>
          <w:lang w:val="en-US" w:eastAsia="zh-CN"/>
        </w:rPr>
      </w:pPr>
      <w:r>
        <w:rPr>
          <w:rFonts w:hint="eastAsia"/>
        </w:rPr>
        <w:t>结合路网数据与医疗机构分布，模拟从养老机构呼叫急救到救护车抵达的时间窗口，生成“急救响应热力图”，直观展示各养老机构的紧急医疗救援保障水平。响应时间≤15分钟的区域标记为绿色（高保障），15-30分钟为黄色，&gt;30分钟为红色（低保障），帮助家属评估机构应对突发健康事件的能力。</w:t>
      </w:r>
      <w:r>
        <w:rPr>
          <w:rFonts w:hint="eastAsia"/>
          <w:lang w:val="en-US" w:eastAsia="zh-CN"/>
        </w:rPr>
        <w:t>同时据此生成急救响应能力字段（分类为高保障、中保障、低保障）</w:t>
      </w:r>
    </w:p>
    <w:p w14:paraId="23070450">
      <w:pPr>
        <w:rPr>
          <w:rFonts w:hint="eastAsia"/>
        </w:rPr>
      </w:pPr>
    </w:p>
    <w:p w14:paraId="0DAF5C16">
      <w:pPr>
        <w:rPr>
          <w:rFonts w:hint="eastAsia"/>
        </w:rPr>
      </w:pPr>
    </w:p>
    <w:p w14:paraId="17D0F90E">
      <w:pPr>
        <w:rPr>
          <w:rFonts w:hint="eastAsia"/>
        </w:rPr>
      </w:pPr>
    </w:p>
    <w:p w14:paraId="74BC2376">
      <w:pPr>
        <w:rPr>
          <w:rFonts w:hint="eastAsia"/>
        </w:rPr>
      </w:pPr>
      <w:r>
        <w:rPr>
          <w:rFonts w:hint="eastAsia"/>
        </w:rPr>
        <w:t>### 二、日常生活便利性分析</w:t>
      </w:r>
    </w:p>
    <w:p w14:paraId="05113B51">
      <w:pPr>
        <w:rPr>
          <w:rFonts w:hint="eastAsia"/>
        </w:rPr>
      </w:pPr>
    </w:p>
    <w:p w14:paraId="6F7B7936">
      <w:pPr>
        <w:rPr>
          <w:rFonts w:hint="eastAsia"/>
          <w:color w:val="0000FF"/>
        </w:rPr>
      </w:pPr>
      <w:r>
        <w:rPr>
          <w:rFonts w:hint="eastAsia"/>
          <w:color w:val="0000FF"/>
        </w:rPr>
        <w:t>**4. 15分钟生活圈设施覆盖率评价**</w:t>
      </w:r>
    </w:p>
    <w:p w14:paraId="42E7F7C1">
      <w:pPr>
        <w:rPr>
          <w:rFonts w:hint="eastAsia"/>
        </w:rPr>
      </w:pPr>
      <w:r>
        <w:rPr>
          <w:rFonts w:hint="eastAsia"/>
        </w:rPr>
        <w:t>以“15分钟生活圈”（老年人步行约600米范围）为基本评价单元，综合评估养老机构周边菜市场、超市、药店、银行、社区食堂、理发店等日常生活服务设施的覆盖密度与多样性。生成每个养老机构的“生活便利度指数”</w:t>
      </w:r>
      <w:r>
        <w:rPr>
          <w:rFonts w:hint="eastAsia"/>
          <w:lang w:val="en-US" w:eastAsia="zh-CN"/>
        </w:rPr>
        <w:t>（将所有机构的指数归一化成0-1之间）</w:t>
      </w:r>
      <w:r>
        <w:rPr>
          <w:rFonts w:hint="eastAsia"/>
        </w:rPr>
        <w:t>，直观比较不同机构周边日常生活的便捷程度。</w:t>
      </w:r>
    </w:p>
    <w:p w14:paraId="2C6603DC">
      <w:pPr>
        <w:rPr>
          <w:rFonts w:hint="eastAsia"/>
        </w:rPr>
      </w:pPr>
    </w:p>
    <w:p w14:paraId="4BEB6C16">
      <w:pPr>
        <w:rPr>
          <w:rFonts w:hint="eastAsia"/>
        </w:rPr>
      </w:pPr>
      <w:r>
        <w:rPr>
          <w:rFonts w:hint="eastAsia"/>
        </w:rPr>
        <w:t>**5. 公共交通可达性分析**</w:t>
      </w:r>
    </w:p>
    <w:p w14:paraId="28876B73">
      <w:pPr>
        <w:rPr>
          <w:rFonts w:hint="eastAsia"/>
        </w:rPr>
      </w:pPr>
      <w:r>
        <w:rPr>
          <w:rFonts w:hint="eastAsia"/>
        </w:rPr>
        <w:t>计算养老机构周边公交站点、地铁站点的分布密度与距离，结合公交线路与地铁网络，评估老年人及家属探访的公共交通便利性。支持生成“交通便利度评分”，并可联动“探视可达性分析”模块，计算家属从居住地到养老机构采用公共交通的换乘次数与总耗时。</w:t>
      </w:r>
    </w:p>
    <w:p w14:paraId="2A092FD8">
      <w:pPr>
        <w:rPr>
          <w:rFonts w:hint="eastAsia"/>
        </w:rPr>
      </w:pPr>
    </w:p>
    <w:p w14:paraId="7934AC06">
      <w:pPr>
        <w:rPr>
          <w:rFonts w:hint="eastAsia"/>
        </w:rPr>
      </w:pPr>
      <w:r>
        <w:rPr>
          <w:rFonts w:hint="eastAsia"/>
        </w:rPr>
        <w:t>**6. 商业服务配套丰富度评估**</w:t>
      </w:r>
    </w:p>
    <w:p w14:paraId="051F2D04">
      <w:pPr>
        <w:rPr>
          <w:rFonts w:hint="eastAsia"/>
        </w:rPr>
      </w:pPr>
      <w:r>
        <w:rPr>
          <w:rFonts w:hint="eastAsia"/>
        </w:rPr>
        <w:t>将餐饮、购物、娱乐、金融等商业POI按类别分层叠加，通过核密度分析计算各养老机构周边商业配套的丰富度与多样性指数，辅助判断机构所在区域的商业活力与生活品质。</w:t>
      </w:r>
    </w:p>
    <w:p w14:paraId="6FF2A542">
      <w:pPr>
        <w:rPr>
          <w:rFonts w:hint="eastAsia"/>
        </w:rPr>
      </w:pPr>
    </w:p>
    <w:p w14:paraId="636A72A1">
      <w:pPr>
        <w:rPr>
          <w:rFonts w:hint="eastAsia"/>
        </w:rPr>
      </w:pPr>
    </w:p>
    <w:p w14:paraId="50ACD8A5">
      <w:pPr>
        <w:rPr>
          <w:rFonts w:hint="eastAsia"/>
        </w:rPr>
      </w:pPr>
      <w:r>
        <w:rPr>
          <w:rFonts w:hint="eastAsia"/>
        </w:rPr>
        <w:t>### 三、休闲与生态环境分析</w:t>
      </w:r>
    </w:p>
    <w:p w14:paraId="7B34838C">
      <w:pPr>
        <w:rPr>
          <w:rFonts w:hint="eastAsia"/>
        </w:rPr>
      </w:pPr>
    </w:p>
    <w:p w14:paraId="4F9B0414">
      <w:pPr>
        <w:rPr>
          <w:rFonts w:hint="eastAsia"/>
          <w:color w:val="0000FF"/>
        </w:rPr>
      </w:pPr>
      <w:r>
        <w:rPr>
          <w:rFonts w:hint="eastAsia"/>
          <w:color w:val="0000FF"/>
        </w:rPr>
        <w:t>**7. 公园绿地可达性与品质评估**</w:t>
      </w:r>
    </w:p>
    <w:p w14:paraId="23655216">
      <w:pPr>
        <w:rPr>
          <w:rFonts w:hint="eastAsia"/>
        </w:rPr>
      </w:pPr>
      <w:r>
        <w:rPr>
          <w:rFonts w:hint="eastAsia"/>
        </w:rPr>
        <w:t>在立项书“周边环境图层叠加”基础上深化：不仅标注公园绿地</w:t>
      </w:r>
      <w:r>
        <w:rPr>
          <w:rFonts w:hint="eastAsia"/>
          <w:lang w:eastAsia="zh-CN"/>
        </w:rPr>
        <w:t>、</w:t>
      </w:r>
      <w:r>
        <w:rPr>
          <w:rFonts w:hint="eastAsia"/>
          <w:lang w:val="en-US" w:eastAsia="zh-CN"/>
        </w:rPr>
        <w:t>景点</w:t>
      </w:r>
      <w:r>
        <w:rPr>
          <w:rFonts w:hint="eastAsia"/>
        </w:rPr>
        <w:t>位置，还进一步分析各养老机构到最近公园绿地</w:t>
      </w:r>
      <w:r>
        <w:rPr>
          <w:rFonts w:hint="eastAsia"/>
          <w:lang w:eastAsia="zh-CN"/>
        </w:rPr>
        <w:t>、</w:t>
      </w:r>
      <w:r>
        <w:rPr>
          <w:rFonts w:hint="eastAsia"/>
          <w:lang w:val="en-US" w:eastAsia="zh-CN"/>
        </w:rPr>
        <w:t>景点</w:t>
      </w:r>
      <w:r>
        <w:rPr>
          <w:rFonts w:hint="eastAsia"/>
        </w:rPr>
        <w:t>的步行距离；生成“绿色休闲指数”</w:t>
      </w:r>
      <w:r>
        <w:rPr>
          <w:rFonts w:hint="eastAsia"/>
          <w:lang w:val="en-US" w:eastAsia="zh-CN"/>
        </w:rPr>
        <w:t>（将所有机构的指数归一化成0-1之间）</w:t>
      </w:r>
      <w:r>
        <w:rPr>
          <w:rFonts w:hint="eastAsia"/>
        </w:rPr>
        <w:t>供用户参考。</w:t>
      </w:r>
    </w:p>
    <w:p w14:paraId="44C67308">
      <w:pPr>
        <w:rPr>
          <w:rFonts w:hint="eastAsia"/>
        </w:rPr>
      </w:pPr>
    </w:p>
    <w:p w14:paraId="24F0C4D5">
      <w:pPr>
        <w:rPr>
          <w:rFonts w:hint="eastAsia"/>
        </w:rPr>
      </w:pPr>
    </w:p>
    <w:p w14:paraId="273D09BC">
      <w:pPr>
        <w:rPr>
          <w:rFonts w:hint="eastAsia"/>
        </w:rPr>
      </w:pPr>
    </w:p>
    <w:p w14:paraId="7159EA3C">
      <w:pPr>
        <w:rPr>
          <w:rFonts w:hint="eastAsia"/>
        </w:rPr>
      </w:pPr>
    </w:p>
    <w:p w14:paraId="23FCC075">
      <w:pPr>
        <w:rPr>
          <w:rFonts w:hint="eastAsia"/>
        </w:rPr>
      </w:pPr>
      <w:r>
        <w:rPr>
          <w:rFonts w:hint="eastAsia"/>
        </w:rPr>
        <w:t>### 四、安全与应急保障分析</w:t>
      </w:r>
    </w:p>
    <w:p w14:paraId="1C00B46B">
      <w:pPr>
        <w:rPr>
          <w:rFonts w:hint="eastAsia"/>
        </w:rPr>
      </w:pPr>
    </w:p>
    <w:p w14:paraId="327757FF">
      <w:pPr>
        <w:rPr>
          <w:rFonts w:hint="eastAsia"/>
        </w:rPr>
      </w:pPr>
      <w:r>
        <w:rPr>
          <w:rFonts w:hint="eastAsia"/>
        </w:rPr>
        <w:t>**10. 应急避难与防灾设施分布**</w:t>
      </w:r>
    </w:p>
    <w:p w14:paraId="2FDC5D5B">
      <w:pPr>
        <w:rPr>
          <w:rFonts w:hint="eastAsia"/>
        </w:rPr>
      </w:pPr>
      <w:r>
        <w:rPr>
          <w:rFonts w:hint="eastAsia"/>
        </w:rPr>
        <w:t>叠加消防站、应急避难场所、医院急诊科等应急保障设施图层，计算各养老机构到最近应急设施的响应距离与时间，评估机构在火灾、自然灾害等突发事件中的应急保障能力。</w:t>
      </w:r>
    </w:p>
    <w:p w14:paraId="60AC3092">
      <w:pPr>
        <w:rPr>
          <w:rFonts w:hint="eastAsia"/>
        </w:rPr>
      </w:pPr>
    </w:p>
    <w:p w14:paraId="69379BC3">
      <w:pPr>
        <w:rPr>
          <w:rFonts w:hint="eastAsia"/>
        </w:rPr>
      </w:pPr>
    </w:p>
    <w:p w14:paraId="796F5E97">
      <w:pPr>
        <w:rPr>
          <w:rFonts w:hint="eastAsia"/>
        </w:rPr>
      </w:pPr>
    </w:p>
    <w:p w14:paraId="01908503">
      <w:pPr>
        <w:rPr>
          <w:rFonts w:hint="eastAsia"/>
        </w:rPr>
      </w:pPr>
      <w:r>
        <w:rPr>
          <w:rFonts w:hint="eastAsia"/>
        </w:rPr>
        <w:t>### 五、综合叠加与智能分析</w:t>
      </w:r>
    </w:p>
    <w:p w14:paraId="53700510">
      <w:pPr>
        <w:rPr>
          <w:rFonts w:hint="eastAsia"/>
        </w:rPr>
      </w:pPr>
      <w:r>
        <w:rPr>
          <w:rFonts w:hint="eastAsia"/>
        </w:rPr>
        <w:t>**12. 多图层综合评分与对比**</w:t>
      </w:r>
    </w:p>
    <w:p w14:paraId="1F96DC33">
      <w:pPr>
        <w:rPr>
          <w:rFonts w:hint="eastAsia"/>
        </w:rPr>
      </w:pPr>
      <w:r>
        <w:rPr>
          <w:rFonts w:hint="eastAsia"/>
        </w:rPr>
        <w:t>用户可自由勾选任意图层组合（如“医疗+生活+休闲”），系统自动加权计算综合环境评分，生成各养老机构的多维度对比雷达图，实现“一键式”周边环境综合评估。</w:t>
      </w:r>
    </w:p>
    <w:p w14:paraId="0EBFAC5A">
      <w:pPr>
        <w:rPr>
          <w:rFonts w:hint="eastAsia"/>
        </w:rPr>
      </w:pPr>
    </w:p>
    <w:p w14:paraId="6CD00B31">
      <w:pPr>
        <w:rPr>
          <w:rFonts w:hint="eastAsia"/>
        </w:rPr>
      </w:pPr>
      <w:r>
        <w:rPr>
          <w:rFonts w:hint="eastAsia"/>
        </w:rPr>
        <w:t>**13. 环境偏好智能筛选与推荐**</w:t>
      </w:r>
    </w:p>
    <w:p w14:paraId="5534926F">
      <w:pPr>
        <w:rPr>
          <w:rFonts w:hint="eastAsia"/>
        </w:rPr>
      </w:pPr>
      <w:r>
        <w:rPr>
          <w:rFonts w:hint="eastAsia"/>
        </w:rPr>
        <w:t>与AI伴诊助手联动：用户通过自然语言输入环境偏好（如“希望机构附近有公园、离三甲医院近、环境安静”），系统自动调取对应图层进行空间查询与多因子叠加分析，返回满足条件的机构列表并在地图上高亮显示。</w:t>
      </w:r>
    </w:p>
    <w:p w14:paraId="58D2F7C0">
      <w:pPr>
        <w:rPr>
          <w:rFonts w:hint="eastAsia"/>
        </w:rPr>
      </w:pPr>
    </w:p>
    <w:p w14:paraId="231FD10E">
      <w:pPr>
        <w:rPr>
          <w:rFonts w:hint="eastAsia"/>
        </w:rPr>
      </w:pPr>
      <w:r>
        <w:rPr>
          <w:rFonts w:hint="eastAsia"/>
        </w:rPr>
        <w:t>**14. 动态环境监测与预警**</w:t>
      </w:r>
    </w:p>
    <w:p w14:paraId="033909A0">
      <w:pPr>
        <w:rPr>
          <w:rFonts w:hint="eastAsia"/>
        </w:rPr>
      </w:pPr>
      <w:r>
        <w:rPr>
          <w:rFonts w:hint="eastAsia"/>
        </w:rPr>
        <w:t>对于已收藏或关注的养老机构，系统定期（如每月）自动检测周边环境变化（如新增施工工地、道路封闭、POI变更等），通过站内信或邮件向用户推送环境变化预警，辅助用户持续跟踪机构的周边动态。</w:t>
      </w:r>
    </w:p>
    <w:p w14:paraId="63A49E85">
      <w:pPr>
        <w:rPr>
          <w:rFonts w:hint="eastAsia"/>
        </w:rPr>
      </w:pPr>
    </w:p>
    <w:p w14:paraId="22087129">
      <w:pPr>
        <w:rPr>
          <w:rFonts w:hint="eastAsia"/>
        </w:rPr>
      </w:pPr>
    </w:p>
    <w:p w14:paraId="6D0349B8">
      <w:pPr>
        <w:rPr>
          <w:rFonts w:hint="eastAsia"/>
        </w:rPr>
      </w:pPr>
      <w:r>
        <w:rPr>
          <w:rFonts w:hint="eastAsia"/>
        </w:rPr>
        <w:t>### 功能实现技术要点</w:t>
      </w:r>
    </w:p>
    <w:p w14:paraId="233876E9">
      <w:pPr>
        <w:rPr>
          <w:rFonts w:hint="eastAsia"/>
        </w:rPr>
      </w:pPr>
    </w:p>
    <w:p w14:paraId="54ACAE7C">
      <w:pPr>
        <w:rPr>
          <w:rFonts w:hint="eastAsia"/>
        </w:rPr>
      </w:pPr>
      <w:r>
        <w:rPr>
          <w:rFonts w:hint="eastAsia"/>
        </w:rPr>
        <w:t>以上功能可依托立项书已规划的技术路线实现：</w:t>
      </w:r>
    </w:p>
    <w:p w14:paraId="4B774EA6">
      <w:pPr>
        <w:rPr>
          <w:rFonts w:hint="eastAsia"/>
        </w:rPr>
      </w:pPr>
    </w:p>
    <w:p w14:paraId="56937137">
      <w:pPr>
        <w:rPr>
          <w:rFonts w:hint="eastAsia"/>
        </w:rPr>
      </w:pPr>
      <w:r>
        <w:rPr>
          <w:rFonts w:hint="eastAsia"/>
        </w:rPr>
        <w:t>- **数据层**：在PostGIS中存储各类POI、路网、环境监测等多源空间数据，按图层分类管理</w:t>
      </w:r>
    </w:p>
    <w:p w14:paraId="47191999">
      <w:pPr>
        <w:rPr>
          <w:rFonts w:hint="eastAsia"/>
        </w:rPr>
      </w:pPr>
      <w:r>
        <w:rPr>
          <w:rFonts w:hint="eastAsia"/>
        </w:rPr>
        <w:t>- **服务层**：通过GeoServer将各分析图层发布为WMS/WFS服务，供前端按需调用与叠加</w:t>
      </w:r>
    </w:p>
    <w:p w14:paraId="4307163E">
      <w:pPr>
        <w:rPr>
          <w:rFonts w:hint="eastAsia"/>
        </w:rPr>
      </w:pPr>
      <w:r>
        <w:rPr>
          <w:rFonts w:hint="eastAsia"/>
        </w:rPr>
        <w:t>- **分析层**：利用PostGIS空间函数（ST_Distance、ST_Intersects、ST_Buffer等）实现距离计算、缓冲区分析、空间拓扑运算</w:t>
      </w:r>
    </w:p>
    <w:p w14:paraId="411EEBE0">
      <w:r>
        <w:rPr>
          <w:rFonts w:hint="eastAsia"/>
        </w:rPr>
        <w:t>- **展示层**：前端提供图层控制器，支持用户自由开关图层、调整图层透明度、自定义叠加组合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5340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2026-06-23T14:08:49Z</dcterms:created>
  <dc:creator>HP</dc:creator>
  <cp:lastModifiedBy>Y⃠H⃠言辞温和</cp:lastModifiedBy>
  <dcterms:modified xsi:type="dcterms:W3CDTF">2026-06-23T15:39:52Z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eyJoZGlkIjoiMTZiZTBkNzMwZGIwZDQ5ZTRjOGU2MGJkNDVjYjgzMzYiLCJ1c2VySWQiOiIzNjIyNzM1NTcifQ==</vt:lpwstr>
  </property>
  <property fmtid="{D5CDD505-2E9C-101B-9397-08002B2CF9AE}" pid="4" name="ICV">
    <vt:lpwstr>C648AA8F75254230AC66013ED43D0DE5_12</vt:lpwstr>
  </property>
</Properties>
</file>