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b/>
          <w:b/>
          <w:bCs/>
          <w:sz w:val="22"/>
          <w:szCs w:val="22"/>
        </w:rPr>
      </w:pPr>
      <w:r>
        <w:rPr>
          <w:rFonts w:ascii="Times New Roman" w:hAnsi="Times New Roman"/>
          <w:b/>
          <w:bCs/>
          <w:i w:val="false"/>
          <w:strike w:val="false"/>
          <w:dstrike w:val="false"/>
          <w:outline w:val="false"/>
          <w:shadow w:val="false"/>
          <w:color w:val="000000"/>
          <w:sz w:val="22"/>
          <w:szCs w:val="22"/>
          <w:u w:val="single"/>
          <w:em w:val="none"/>
        </w:rPr>
        <w:t>PCRs</w:t>
      </w:r>
      <w:r>
        <w:rPr>
          <w:rFonts w:ascii="Times New Roman" w:hAnsi="Times New Roman"/>
          <w:b/>
          <w:bCs/>
          <w:i w:val="false"/>
          <w:strike w:val="false"/>
          <w:dstrike w:val="false"/>
          <w:outline w:val="false"/>
          <w:shadow w:val="false"/>
          <w:color w:val="000000"/>
          <w:sz w:val="22"/>
          <w:szCs w:val="22"/>
          <w:u w:val="none"/>
          <w:em w:val="none"/>
        </w:rPr>
        <w:t xml:space="preserve"> </w:t>
      </w:r>
    </w:p>
    <w:p>
      <w:pPr>
        <w:pStyle w:val="Normal"/>
        <w:bidi w:val="0"/>
        <w:jc w:val="left"/>
        <w:rPr>
          <w:b w:val="false"/>
          <w:b w:val="false"/>
          <w:i w:val="false"/>
          <w:i w:val="false"/>
          <w:strike w:val="false"/>
          <w:dstrike w:val="false"/>
          <w:outline w:val="false"/>
          <w:shadow w:val="false"/>
          <w:color w:val="000000"/>
          <w:u w:val="none"/>
          <w:em w:val="none"/>
        </w:rPr>
      </w:pPr>
      <w:r>
        <w:rPr>
          <w:b w:val="false"/>
          <w:i w:val="false"/>
          <w:strike w:val="false"/>
          <w:dstrike w:val="false"/>
          <w:outline w:val="false"/>
          <w:shadow w:val="false"/>
          <w:color w:val="000000"/>
          <w:u w:val="none"/>
          <w:em w:val="none"/>
        </w:rPr>
      </w:r>
    </w:p>
    <w:p>
      <w:pPr>
        <w:pStyle w:val="Normal"/>
        <w:bidi w:val="0"/>
        <w:jc w:val="left"/>
        <w:rPr>
          <w:rFonts w:ascii="Times New Roman" w:hAnsi="Times New Roman"/>
          <w:sz w:val="22"/>
          <w:szCs w:val="22"/>
          <w:u w:val="single"/>
        </w:rPr>
      </w:pPr>
      <w:r>
        <w:rPr>
          <w:rFonts w:ascii="Times New Roman" w:hAnsi="Times New Roman"/>
          <w:b w:val="false"/>
          <w:i/>
          <w:strike w:val="false"/>
          <w:dstrike w:val="false"/>
          <w:outline w:val="false"/>
          <w:shadow w:val="false"/>
          <w:color w:val="000000"/>
          <w:sz w:val="22"/>
          <w:szCs w:val="22"/>
          <w:u w:val="single"/>
          <w:em w:val="none"/>
        </w:rPr>
        <w:t>cyt-b</w:t>
      </w:r>
      <w:r>
        <w:rPr>
          <w:rFonts w:ascii="Times New Roman" w:hAnsi="Times New Roman"/>
          <w:b w:val="false"/>
          <w:i w:val="false"/>
          <w:strike w:val="false"/>
          <w:dstrike w:val="false"/>
          <w:outline w:val="false"/>
          <w:shadow w:val="false"/>
          <w:color w:val="000000"/>
          <w:sz w:val="22"/>
          <w:szCs w:val="22"/>
          <w:u w:val="single"/>
          <w:em w:val="none"/>
        </w:rPr>
        <w:t xml:space="preserve"> (</w:t>
      </w:r>
      <w:r>
        <w:rPr>
          <w:rFonts w:ascii="Times New Roman" w:hAnsi="Times New Roman"/>
          <w:b w:val="false"/>
          <w:bCs/>
          <w:i w:val="false"/>
          <w:strike w:val="false"/>
          <w:dstrike w:val="false"/>
          <w:outline w:val="false"/>
          <w:shadow w:val="false"/>
          <w:color w:val="000000"/>
          <w:sz w:val="22"/>
          <w:szCs w:val="22"/>
          <w:u w:val="single"/>
          <w:em w:val="none"/>
        </w:rPr>
        <w:t>Dufresnes et al 2013)</w:t>
      </w:r>
    </w:p>
    <w:p>
      <w:pPr>
        <w:pStyle w:val="Normal"/>
        <w:bidi w:val="0"/>
        <w:jc w:val="left"/>
        <w:rPr>
          <w:b w:val="false"/>
          <w:b w:val="false"/>
          <w:i w:val="false"/>
          <w:i w:val="false"/>
          <w:strike w:val="false"/>
          <w:dstrike w:val="false"/>
          <w:outline w:val="false"/>
          <w:shadow w:val="false"/>
          <w:color w:val="000000"/>
          <w:u w:val="none"/>
          <w:em w:val="none"/>
        </w:rPr>
      </w:pPr>
      <w:r>
        <w:rPr>
          <w:b w:val="false"/>
          <w:i w:val="false"/>
          <w:strike w:val="false"/>
          <w:dstrike w:val="false"/>
          <w:outline w:val="false"/>
          <w:shadow w:val="false"/>
          <w:color w:val="000000"/>
          <w:u w:val="none"/>
          <w:em w:val="none"/>
        </w:rPr>
      </w:r>
    </w:p>
    <w:p>
      <w:pPr>
        <w:pStyle w:val="Normal"/>
        <w:bidi w:val="0"/>
        <w:jc w:val="left"/>
        <w:rPr>
          <w:rFonts w:ascii="Times New Roman" w:hAnsi="Times New Roman"/>
          <w:sz w:val="22"/>
          <w:szCs w:val="22"/>
        </w:rPr>
      </w:pPr>
      <w:r>
        <w:rPr>
          <w:rFonts w:ascii="Times New Roman" w:hAnsi="Times New Roman"/>
          <w:b w:val="false"/>
          <w:i w:val="false"/>
          <w:strike w:val="false"/>
          <w:dstrike w:val="false"/>
          <w:outline w:val="false"/>
          <w:shadow w:val="false"/>
          <w:color w:val="000000"/>
          <w:sz w:val="22"/>
          <w:szCs w:val="22"/>
          <w:u w:val="none"/>
          <w:em w:val="none"/>
        </w:rPr>
        <w:t xml:space="preserve">Hyla-L0: ATGGCCCCTGTTTTACGCAA </w:t>
      </w:r>
    </w:p>
    <w:p>
      <w:pPr>
        <w:pStyle w:val="Normal"/>
        <w:bidi w:val="0"/>
        <w:jc w:val="left"/>
        <w:rPr>
          <w:rFonts w:ascii="Times New Roman" w:hAnsi="Times New Roman"/>
          <w:sz w:val="22"/>
          <w:szCs w:val="22"/>
        </w:rPr>
      </w:pPr>
      <w:r>
        <w:rPr>
          <w:rFonts w:ascii="Times New Roman" w:hAnsi="Times New Roman"/>
          <w:b w:val="false"/>
          <w:i w:val="false"/>
          <w:strike w:val="false"/>
          <w:dstrike w:val="false"/>
          <w:outline w:val="false"/>
          <w:shadow w:val="false"/>
          <w:color w:val="000000"/>
          <w:sz w:val="22"/>
          <w:szCs w:val="22"/>
          <w:u w:val="none"/>
          <w:em w:val="none"/>
        </w:rPr>
        <w:t>Hyla-H1046: TAAATGGGTCTTCTACTGG</w:t>
      </w:r>
    </w:p>
    <w:p>
      <w:pPr>
        <w:pStyle w:val="Normal"/>
        <w:bidi w:val="0"/>
        <w:jc w:val="left"/>
        <w:rPr>
          <w:b w:val="false"/>
          <w:b w:val="false"/>
          <w:i w:val="false"/>
          <w:i w:val="false"/>
          <w:strike w:val="false"/>
          <w:dstrike w:val="false"/>
          <w:outline w:val="false"/>
          <w:shadow w:val="false"/>
          <w:color w:val="000000"/>
          <w:u w:val="none"/>
          <w:em w:val="none"/>
        </w:rPr>
      </w:pPr>
      <w:r>
        <w:rPr>
          <w:b w:val="false"/>
          <w:i w:val="false"/>
          <w:strike w:val="false"/>
          <w:dstrike w:val="false"/>
          <w:outline w:val="false"/>
          <w:shadow w:val="false"/>
          <w:color w:val="000000"/>
          <w:u w:val="none"/>
          <w:em w:val="none"/>
        </w:rPr>
      </w:r>
    </w:p>
    <w:p>
      <w:pPr>
        <w:pStyle w:val="Normal"/>
        <w:bidi w:val="0"/>
        <w:jc w:val="left"/>
        <w:rPr>
          <w:rFonts w:ascii="Times New Roman" w:hAnsi="Times New Roman"/>
          <w:sz w:val="22"/>
          <w:szCs w:val="22"/>
        </w:rPr>
      </w:pPr>
      <w:r>
        <w:rPr>
          <w:rFonts w:ascii="Times New Roman" w:hAnsi="Times New Roman"/>
          <w:b w:val="false"/>
          <w:i w:val="false"/>
          <w:strike w:val="false"/>
          <w:dstrike w:val="false"/>
          <w:outline w:val="false"/>
          <w:shadow w:val="false"/>
          <w:color w:val="000000"/>
          <w:sz w:val="22"/>
          <w:szCs w:val="22"/>
          <w:u w:val="none"/>
          <w:em w:val="none"/>
        </w:rPr>
        <w:t>Amplifications were carried out in 25µl containing 2.5µl of Qiagen PCR buffer (with 1.5mM of MgCl2), 0.5µl of dNTPs (10mM), 1.5µl of each primer (10µM), 0.1µl of Qiagen Taq (5 units/µl), and 1µl of DNA (10ng/µl). PCR conditions were as follow: initial denaturation at 94°C for 1’; 38 cycles of 94°C for 30” (denaturation), 48°C for 1’ (annealing), 72°C for 1’ (elongation); and final elongation at 72°C for 10’.</w:t>
      </w:r>
    </w:p>
    <w:p>
      <w:pPr>
        <w:pStyle w:val="Normal"/>
        <w:rPr>
          <w:rFonts w:ascii="Times New Roman" w:hAnsi="Times New Roman"/>
          <w:sz w:val="22"/>
          <w:szCs w:val="22"/>
        </w:rPr>
      </w:pPr>
      <w:r>
        <w:rPr>
          <w:rFonts w:ascii="Times New Roman" w:hAnsi="Times New Roman"/>
          <w:sz w:val="22"/>
          <w:szCs w:val="22"/>
        </w:rPr>
      </w:r>
    </w:p>
    <w:p>
      <w:pPr>
        <w:pStyle w:val="Normal"/>
        <w:bidi w:val="0"/>
        <w:jc w:val="left"/>
        <w:rPr>
          <w:rFonts w:ascii="Times New Roman" w:hAnsi="Times New Roman"/>
          <w:sz w:val="22"/>
          <w:szCs w:val="22"/>
          <w:u w:val="single"/>
        </w:rPr>
      </w:pPr>
      <w:r>
        <w:rPr>
          <w:rFonts w:ascii="Times New Roman" w:hAnsi="Times New Roman"/>
          <w:b w:val="false"/>
          <w:i/>
          <w:strike w:val="false"/>
          <w:dstrike w:val="false"/>
          <w:outline w:val="false"/>
          <w:shadow w:val="false"/>
          <w:color w:val="000000"/>
          <w:sz w:val="22"/>
          <w:szCs w:val="22"/>
          <w:u w:val="single"/>
          <w:em w:val="none"/>
        </w:rPr>
        <w:t xml:space="preserve">rag-1-Duf </w:t>
      </w:r>
      <w:r>
        <w:rPr>
          <w:rFonts w:ascii="Times New Roman" w:hAnsi="Times New Roman"/>
          <w:b w:val="false"/>
          <w:i w:val="false"/>
          <w:strike w:val="false"/>
          <w:dstrike w:val="false"/>
          <w:outline w:val="false"/>
          <w:shadow w:val="false"/>
          <w:color w:val="000000"/>
          <w:sz w:val="22"/>
          <w:szCs w:val="22"/>
          <w:u w:val="single"/>
          <w:em w:val="none"/>
        </w:rPr>
        <w:t>(</w:t>
      </w:r>
      <w:r>
        <w:rPr>
          <w:rFonts w:ascii="Times New Roman" w:hAnsi="Times New Roman"/>
          <w:b w:val="false"/>
          <w:bCs/>
          <w:i w:val="false"/>
          <w:strike w:val="false"/>
          <w:dstrike w:val="false"/>
          <w:outline w:val="false"/>
          <w:shadow w:val="false"/>
          <w:color w:val="000000"/>
          <w:sz w:val="22"/>
          <w:szCs w:val="22"/>
          <w:u w:val="single"/>
          <w:em w:val="none"/>
        </w:rPr>
        <w:t>Dufresnes et al 2013)</w:t>
      </w:r>
    </w:p>
    <w:p>
      <w:pPr>
        <w:pStyle w:val="Normal"/>
        <w:bidi w:val="0"/>
        <w:jc w:val="left"/>
        <w:rPr>
          <w:b w:val="false"/>
          <w:b w:val="false"/>
          <w:i/>
          <w:i/>
          <w:strike w:val="false"/>
          <w:dstrike w:val="false"/>
          <w:outline w:val="false"/>
          <w:shadow w:val="false"/>
          <w:color w:val="000000"/>
          <w:u w:val="none"/>
          <w:em w:val="none"/>
        </w:rPr>
      </w:pPr>
      <w:r>
        <w:rPr>
          <w:b w:val="false"/>
          <w:i/>
          <w:strike w:val="false"/>
          <w:dstrike w:val="false"/>
          <w:outline w:val="false"/>
          <w:shadow w:val="false"/>
          <w:color w:val="000000"/>
          <w:u w:val="none"/>
          <w:em w:val="none"/>
        </w:rPr>
      </w:r>
    </w:p>
    <w:p>
      <w:pPr>
        <w:pStyle w:val="Normal"/>
        <w:bidi w:val="0"/>
        <w:jc w:val="left"/>
        <w:rPr>
          <w:rFonts w:ascii="Times New Roman" w:hAnsi="Times New Roman"/>
          <w:sz w:val="22"/>
          <w:szCs w:val="22"/>
        </w:rPr>
      </w:pPr>
      <w:r>
        <w:rPr>
          <w:rFonts w:ascii="Times New Roman" w:hAnsi="Times New Roman"/>
          <w:b w:val="false"/>
          <w:i w:val="false"/>
          <w:strike w:val="false"/>
          <w:dstrike w:val="false"/>
          <w:outline w:val="false"/>
          <w:shadow w:val="false"/>
          <w:color w:val="000000"/>
          <w:sz w:val="22"/>
          <w:szCs w:val="22"/>
          <w:u w:val="none"/>
          <w:em w:val="none"/>
        </w:rPr>
        <w:t>Ha-Rag1f: ATGCCCTGAGAAATGCAGAG</w:t>
      </w:r>
    </w:p>
    <w:p>
      <w:pPr>
        <w:pStyle w:val="Normal"/>
        <w:bidi w:val="0"/>
        <w:jc w:val="left"/>
        <w:rPr>
          <w:rFonts w:ascii="Times New Roman" w:hAnsi="Times New Roman"/>
          <w:sz w:val="22"/>
          <w:szCs w:val="22"/>
        </w:rPr>
      </w:pPr>
      <w:r>
        <w:rPr>
          <w:rFonts w:ascii="Times New Roman" w:hAnsi="Times New Roman"/>
          <w:b w:val="false"/>
          <w:i w:val="false"/>
          <w:strike w:val="false"/>
          <w:dstrike w:val="false"/>
          <w:outline w:val="false"/>
          <w:shadow w:val="false"/>
          <w:color w:val="000000"/>
          <w:sz w:val="22"/>
          <w:szCs w:val="22"/>
          <w:u w:val="none"/>
          <w:em w:val="none"/>
        </w:rPr>
        <w:t>Ha-Rag1r: TTTCGTAGCGTTGCAAGTTC</w:t>
      </w:r>
    </w:p>
    <w:p>
      <w:pPr>
        <w:pStyle w:val="Normal"/>
        <w:bidi w:val="0"/>
        <w:jc w:val="left"/>
        <w:rPr>
          <w:b w:val="false"/>
          <w:b w:val="false"/>
          <w:i/>
          <w:i/>
          <w:strike w:val="false"/>
          <w:dstrike w:val="false"/>
          <w:outline w:val="false"/>
          <w:shadow w:val="false"/>
          <w:color w:val="000000"/>
          <w:u w:val="none"/>
          <w:em w:val="none"/>
        </w:rPr>
      </w:pPr>
      <w:r>
        <w:rPr>
          <w:b w:val="false"/>
          <w:i/>
          <w:strike w:val="false"/>
          <w:dstrike w:val="false"/>
          <w:outline w:val="false"/>
          <w:shadow w:val="false"/>
          <w:color w:val="000000"/>
          <w:u w:val="none"/>
          <w:em w:val="none"/>
        </w:rPr>
      </w:r>
    </w:p>
    <w:p>
      <w:pPr>
        <w:pStyle w:val="Normal"/>
        <w:bidi w:val="0"/>
        <w:jc w:val="left"/>
        <w:rPr>
          <w:rFonts w:ascii="Times New Roman" w:hAnsi="Times New Roman"/>
          <w:sz w:val="22"/>
          <w:szCs w:val="22"/>
        </w:rPr>
      </w:pPr>
      <w:r>
        <w:rPr>
          <w:rFonts w:ascii="Times New Roman" w:hAnsi="Times New Roman"/>
          <w:b w:val="false"/>
          <w:i w:val="false"/>
          <w:strike w:val="false"/>
          <w:dstrike w:val="false"/>
          <w:outline w:val="false"/>
          <w:shadow w:val="false"/>
          <w:color w:val="000000"/>
          <w:sz w:val="22"/>
          <w:szCs w:val="22"/>
          <w:u w:val="none"/>
          <w:em w:val="none"/>
        </w:rPr>
        <w:t xml:space="preserve">PCR templates (25 µl) contained 2.5µl of Qiagen PCR buffer (with 1.5mM of MgCl2), 0.475µl of dNTPs (10mM), 1.25µl of each primer (10µM), 0.125µl of Qiagen Taq (5 units/µl) and 2µl of DNA (10ng/µl). We used similar PCR conditions as for </w:t>
      </w:r>
      <w:r>
        <w:rPr>
          <w:rFonts w:ascii="Times New Roman" w:hAnsi="Times New Roman"/>
          <w:b w:val="false"/>
          <w:i/>
          <w:strike w:val="false"/>
          <w:dstrike w:val="false"/>
          <w:outline w:val="false"/>
          <w:shadow w:val="false"/>
          <w:color w:val="000000"/>
          <w:sz w:val="22"/>
          <w:szCs w:val="22"/>
          <w:u w:val="none"/>
          <w:em w:val="none"/>
        </w:rPr>
        <w:t>cyt b</w:t>
      </w:r>
      <w:r>
        <w:rPr>
          <w:rFonts w:ascii="Times New Roman" w:hAnsi="Times New Roman"/>
          <w:b w:val="false"/>
          <w:i w:val="false"/>
          <w:strike w:val="false"/>
          <w:dstrike w:val="false"/>
          <w:outline w:val="false"/>
          <w:shadow w:val="false"/>
          <w:color w:val="000000"/>
          <w:sz w:val="22"/>
          <w:szCs w:val="22"/>
          <w:u w:val="none"/>
          <w:em w:val="none"/>
        </w:rPr>
        <w:t xml:space="preserve"> expect for the annealing temperature (54°C) and final elongation time (5’).</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b w:val="false"/>
          <w:i w:val="false"/>
          <w:strike w:val="false"/>
          <w:dstrike w:val="false"/>
          <w:outline w:val="false"/>
          <w:shadow w:val="false"/>
          <w:color w:val="000000"/>
          <w:sz w:val="22"/>
          <w:szCs w:val="22"/>
          <w:u w:val="none"/>
          <w:em w:val="none"/>
        </w:rPr>
        <w:t xml:space="preserve">Stöck et al (2008) published slightly different primers for the same gene, which produces a larger amplicon. As this contains more SNPs, it would be good to get this to work, or perhaps a combination of the forward and reverse primers from the two studies.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i/>
          <w:i/>
          <w:iCs/>
          <w:sz w:val="22"/>
          <w:szCs w:val="22"/>
          <w:u w:val="single"/>
        </w:rPr>
      </w:pPr>
      <w:r>
        <w:rPr>
          <w:rFonts w:ascii="Times New Roman" w:hAnsi="Times New Roman"/>
          <w:i/>
          <w:iCs/>
          <w:sz w:val="22"/>
          <w:szCs w:val="22"/>
          <w:u w:val="single"/>
        </w:rPr>
        <w:t>rag-1-Stoeck (</w:t>
      </w:r>
      <w:r>
        <w:rPr>
          <w:rFonts w:ascii="Times New Roman" w:hAnsi="Times New Roman"/>
          <w:b w:val="false"/>
          <w:i/>
          <w:iCs/>
          <w:strike w:val="false"/>
          <w:dstrike w:val="false"/>
          <w:outline w:val="false"/>
          <w:shadow w:val="false"/>
          <w:color w:val="000000"/>
          <w:sz w:val="22"/>
          <w:szCs w:val="22"/>
          <w:u w:val="single"/>
          <w:em w:val="none"/>
        </w:rPr>
        <w:t>Stöck</w:t>
      </w:r>
      <w:r>
        <w:rPr>
          <w:rFonts w:ascii="Times New Roman" w:hAnsi="Times New Roman"/>
          <w:i/>
          <w:iCs/>
          <w:sz w:val="22"/>
          <w:szCs w:val="22"/>
          <w:u w:val="single"/>
        </w:rPr>
        <w:t xml:space="preserve"> et al 2008)</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MARTFL1-Stoeck: AGCTGGAGYCARTAYCAYAARATG</w:t>
      </w:r>
    </w:p>
    <w:p>
      <w:pPr>
        <w:pStyle w:val="Normal"/>
        <w:rPr>
          <w:rFonts w:ascii="Times New Roman" w:hAnsi="Times New Roman"/>
          <w:sz w:val="22"/>
          <w:szCs w:val="22"/>
        </w:rPr>
      </w:pPr>
      <w:r>
        <w:rPr>
          <w:rFonts w:ascii="Times New Roman" w:hAnsi="Times New Roman"/>
          <w:sz w:val="22"/>
          <w:szCs w:val="22"/>
        </w:rPr>
        <w:t>RAGIF-Stoeck:  CCAATGTCGCAGTGCAARGCRTC</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Note, annealing temp in </w:t>
      </w:r>
      <w:r>
        <w:rPr>
          <w:rFonts w:ascii="Times New Roman" w:hAnsi="Times New Roman"/>
          <w:b w:val="false"/>
          <w:i w:val="false"/>
          <w:strike w:val="false"/>
          <w:dstrike w:val="false"/>
          <w:outline w:val="false"/>
          <w:shadow w:val="false"/>
          <w:color w:val="000000"/>
          <w:sz w:val="22"/>
          <w:szCs w:val="22"/>
          <w:u w:val="none"/>
          <w:em w:val="none"/>
        </w:rPr>
        <w:t>Stöck</w:t>
      </w:r>
      <w:r>
        <w:rPr>
          <w:rFonts w:ascii="Times New Roman" w:hAnsi="Times New Roman"/>
          <w:sz w:val="22"/>
          <w:szCs w:val="22"/>
        </w:rPr>
        <w:t xml:space="preserve"> et al (2008) used touch down 60–45 (15 cycles) + 45 (38 cycles). I would rather not have to use this, so we could use the same PCR protocol as for the Dufresnes et al </w:t>
      </w:r>
      <w:r>
        <w:rPr>
          <w:rFonts w:ascii="Times New Roman" w:hAnsi="Times New Roman"/>
          <w:i/>
          <w:iCs/>
          <w:sz w:val="22"/>
          <w:szCs w:val="22"/>
        </w:rPr>
        <w:t>rag-1</w:t>
      </w:r>
      <w:r>
        <w:rPr>
          <w:rFonts w:ascii="Times New Roman" w:hAnsi="Times New Roman"/>
          <w:i w:val="false"/>
          <w:iCs w:val="false"/>
          <w:sz w:val="22"/>
          <w:szCs w:val="22"/>
        </w:rPr>
        <w:t xml:space="preserve"> amplification. B</w:t>
      </w:r>
      <w:r>
        <w:rPr>
          <w:rFonts w:ascii="Times New Roman" w:hAnsi="Times New Roman"/>
          <w:sz w:val="22"/>
          <w:szCs w:val="22"/>
        </w:rPr>
        <w:t xml:space="preserve">ut if it is easy enough to try it then perhaps we can make a test if the other reactions do not work so well.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u w:val="single"/>
        </w:rPr>
      </w:pPr>
      <w:r>
        <w:rPr>
          <w:rFonts w:ascii="Times New Roman" w:hAnsi="Times New Roman"/>
          <w:b/>
          <w:bCs/>
          <w:sz w:val="22"/>
          <w:szCs w:val="22"/>
          <w:u w:val="single"/>
        </w:rPr>
        <w:t>Samples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For PCR testing we need to try samples from both pure species and ideally also a population in the hybrid zone. So </w:t>
      </w:r>
      <w:r>
        <w:rPr>
          <w:rFonts w:ascii="Times New Roman" w:hAnsi="Times New Roman"/>
          <w:b/>
          <w:bCs/>
          <w:sz w:val="22"/>
          <w:szCs w:val="22"/>
        </w:rPr>
        <w:t xml:space="preserve">for the tests I would suggest sites 1 (PIA), 6 (LDC) and 12 (ROS), perhaps two or three samples from each.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drawing>
          <wp:anchor behindDoc="0" distT="0" distB="0" distL="0" distR="0" simplePos="0" locked="0" layoutInCell="1" allowOverlap="1" relativeHeight="3">
            <wp:simplePos x="0" y="0"/>
            <wp:positionH relativeFrom="column">
              <wp:posOffset>2893060</wp:posOffset>
            </wp:positionH>
            <wp:positionV relativeFrom="paragraph">
              <wp:posOffset>104775</wp:posOffset>
            </wp:positionV>
            <wp:extent cx="2373630" cy="223075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373630" cy="2230755"/>
                    </a:xfrm>
                    <a:prstGeom prst="rect">
                      <a:avLst/>
                    </a:prstGeom>
                  </pic:spPr>
                </pic:pic>
              </a:graphicData>
            </a:graphic>
          </wp:anchor>
        </w:drawing>
        <w:drawing>
          <wp:anchor behindDoc="0" distT="0" distB="0" distL="0" distR="0" simplePos="0" locked="0" layoutInCell="1" allowOverlap="1" relativeHeight="2">
            <wp:simplePos x="0" y="0"/>
            <wp:positionH relativeFrom="column">
              <wp:posOffset>864235</wp:posOffset>
            </wp:positionH>
            <wp:positionV relativeFrom="paragraph">
              <wp:posOffset>94615</wp:posOffset>
            </wp:positionV>
            <wp:extent cx="2029460" cy="22409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029460" cy="2240915"/>
                    </a:xfrm>
                    <a:prstGeom prst="rect">
                      <a:avLst/>
                    </a:prstGeom>
                  </pic:spPr>
                </pic:pic>
              </a:graphicData>
            </a:graphic>
          </wp:anchor>
        </w:drawing>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b/>
          <w:b/>
          <w:bCs/>
          <w:sz w:val="22"/>
          <w:szCs w:val="22"/>
        </w:rPr>
      </w:pPr>
      <w:r>
        <w:rPr>
          <w:rFonts w:ascii="Times New Roman" w:hAnsi="Times New Roman"/>
          <w:b/>
          <w:bCs/>
          <w:sz w:val="22"/>
          <w:szCs w:val="22"/>
        </w:rPr>
        <w:t>References</w:t>
      </w:r>
    </w:p>
    <w:p>
      <w:pPr>
        <w:pStyle w:val="Normal"/>
        <w:rPr>
          <w:rFonts w:ascii="Times New Roman" w:hAnsi="Times New Roman"/>
          <w:b/>
          <w:b/>
          <w:bCs/>
          <w:sz w:val="22"/>
          <w:szCs w:val="22"/>
        </w:rPr>
      </w:pPr>
      <w:r>
        <w:rPr>
          <w:rFonts w:ascii="Times New Roman" w:hAnsi="Times New Roman"/>
          <w:b/>
          <w:bCs/>
          <w:sz w:val="22"/>
          <w:szCs w:val="22"/>
        </w:rPr>
      </w:r>
    </w:p>
    <w:p>
      <w:pPr>
        <w:pStyle w:val="Normal"/>
        <w:bidi w:val="0"/>
        <w:jc w:val="left"/>
        <w:rPr>
          <w:rFonts w:ascii="Times New Roman" w:hAnsi="Times New Roman"/>
          <w:sz w:val="22"/>
          <w:szCs w:val="22"/>
        </w:rPr>
      </w:pPr>
      <w:r>
        <w:rPr>
          <w:rFonts w:ascii="Times New Roman" w:hAnsi="Times New Roman"/>
          <w:b w:val="false"/>
          <w:i w:val="false"/>
          <w:strike w:val="false"/>
          <w:dstrike w:val="false"/>
          <w:outline w:val="false"/>
          <w:shadow w:val="false"/>
          <w:color w:val="000000"/>
          <w:sz w:val="22"/>
          <w:szCs w:val="22"/>
          <w:u w:val="none"/>
          <w:em w:val="none"/>
        </w:rPr>
        <w:t xml:space="preserve">Dufresnes, C., Wassef, J., Ghali, K., Brelsford, A., Stöck, M., Lymberakis, P., et al. (2013). Conservation phylogeography: does historical diversity contribute to regional vulnerability in European tree frogs (Hyla arborea)? </w:t>
      </w:r>
      <w:r>
        <w:rPr>
          <w:rFonts w:ascii="Times New Roman" w:hAnsi="Times New Roman"/>
          <w:b w:val="false"/>
          <w:i/>
          <w:strike w:val="false"/>
          <w:dstrike w:val="false"/>
          <w:outline w:val="false"/>
          <w:shadow w:val="false"/>
          <w:color w:val="000000"/>
          <w:sz w:val="22"/>
          <w:szCs w:val="22"/>
          <w:u w:val="none"/>
          <w:em w:val="none"/>
        </w:rPr>
        <w:t>Mol. Ecol.</w:t>
      </w:r>
      <w:r>
        <w:rPr>
          <w:rFonts w:ascii="Times New Roman" w:hAnsi="Times New Roman"/>
          <w:b w:val="false"/>
          <w:i w:val="false"/>
          <w:strike w:val="false"/>
          <w:dstrike w:val="false"/>
          <w:outline w:val="false"/>
          <w:shadow w:val="false"/>
          <w:color w:val="000000"/>
          <w:sz w:val="22"/>
          <w:szCs w:val="22"/>
          <w:u w:val="none"/>
          <w:em w:val="none"/>
        </w:rPr>
        <w:t xml:space="preserve"> 22, 5669–5684.</w:t>
      </w:r>
    </w:p>
    <w:p>
      <w:pPr>
        <w:pStyle w:val="Normal"/>
        <w:bidi w:val="0"/>
        <w:jc w:val="left"/>
        <w:rPr>
          <w:b w:val="false"/>
          <w:b w:val="false"/>
          <w:i w:val="false"/>
          <w:i w:val="false"/>
          <w:strike w:val="false"/>
          <w:dstrike w:val="false"/>
          <w:outline w:val="false"/>
          <w:shadow w:val="false"/>
          <w:color w:val="000000"/>
          <w:u w:val="none"/>
          <w:em w:val="none"/>
        </w:rPr>
      </w:pPr>
      <w:r>
        <w:rPr>
          <w:b w:val="false"/>
          <w:i w:val="false"/>
          <w:strike w:val="false"/>
          <w:dstrike w:val="false"/>
          <w:outline w:val="false"/>
          <w:shadow w:val="false"/>
          <w:color w:val="000000"/>
          <w:u w:val="none"/>
          <w:em w:val="none"/>
        </w:rPr>
      </w:r>
    </w:p>
    <w:p>
      <w:pPr>
        <w:pStyle w:val="Normal"/>
        <w:bidi w:val="0"/>
        <w:jc w:val="left"/>
        <w:rPr/>
      </w:pPr>
      <w:r>
        <w:rPr>
          <w:rFonts w:ascii="Times New Roman" w:hAnsi="Times New Roman"/>
          <w:b w:val="false"/>
          <w:i w:val="false"/>
          <w:strike w:val="false"/>
          <w:dstrike w:val="false"/>
          <w:outline w:val="false"/>
          <w:shadow w:val="false"/>
          <w:color w:val="000000"/>
          <w:sz w:val="22"/>
          <w:szCs w:val="22"/>
          <w:u w:val="none"/>
          <w:em w:val="none"/>
        </w:rPr>
        <w:t xml:space="preserve">Stöck, M., Dubey, S., Klütsch, C., Litvinchuk, S. N., Scheidt, U., and Perrin, N. (2008). Mitochondrial and nuclear phylogeny of circum-Mediterranean tree frogs from the Hyla arborea group. </w:t>
      </w:r>
      <w:r>
        <w:rPr>
          <w:rFonts w:ascii="Times New Roman" w:hAnsi="Times New Roman"/>
          <w:b w:val="false"/>
          <w:i/>
          <w:strike w:val="false"/>
          <w:dstrike w:val="false"/>
          <w:outline w:val="false"/>
          <w:shadow w:val="false"/>
          <w:color w:val="000000"/>
          <w:sz w:val="22"/>
          <w:szCs w:val="22"/>
          <w:u w:val="none"/>
          <w:em w:val="none"/>
        </w:rPr>
        <w:t>Mol. Phylogenet. Evol.</w:t>
      </w:r>
      <w:r>
        <w:rPr>
          <w:rFonts w:ascii="Times New Roman" w:hAnsi="Times New Roman"/>
          <w:b w:val="false"/>
          <w:i w:val="false"/>
          <w:strike w:val="false"/>
          <w:dstrike w:val="false"/>
          <w:outline w:val="false"/>
          <w:shadow w:val="false"/>
          <w:color w:val="000000"/>
          <w:sz w:val="22"/>
          <w:szCs w:val="22"/>
          <w:u w:val="none"/>
          <w:em w:val="none"/>
        </w:rPr>
        <w:t xml:space="preserve"> 49, 1019–1024.</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2</Pages>
  <Words>378</Words>
  <Characters>1964</Characters>
  <CharactersWithSpaces>2326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2019-09-17T15:37:00Z</dcterms:created>
  <dc:creator/>
  <dc:description/>
  <dc:language>en-US</dc:language>
  <cp:lastModifiedBy/>
  <dcterms:modified xsi:type="dcterms:W3CDTF">2019-09-17T17:07:55Z</dcterms:modified>
  <cp:revision>2</cp:revision>
  <dc:subject/>
  <dc:title/>
</cp:coreProperties>
</file>