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B3A5C"/>
          <w:sz w:val="72"/>
          <w:szCs w:val="72"/>
        </w:rPr>
        <w:t xml:space="preserve">Dynamic Expanding</w:t>
      </w:r>
    </w:p>
    <w:p>
      <w:pPr>
        <w:spacing w:before="0" w:after="200"/>
        <w:jc w:val="center"/>
      </w:pPr>
      <w:r>
        <w:rPr>
          <w:rFonts w:ascii="Arial" w:cs="Arial" w:eastAsia="Arial" w:hAnsi="Arial"/>
          <w:b/>
          <w:bCs/>
          <w:color w:val="2E86AB"/>
          <w:sz w:val="72"/>
          <w:szCs w:val="72"/>
        </w:rPr>
        <w:t xml:space="preserve">Mixture of Experts</w:t>
      </w:r>
    </w:p>
    <w:p>
      <w:pPr>
        <w:spacing w:before="0" w:after="400"/>
        <w:jc w:val="center"/>
      </w:pPr>
      <w:r>
        <w:rPr>
          <w:rFonts w:ascii="Arial" w:cs="Arial" w:eastAsia="Arial" w:hAnsi="Arial"/>
          <w:i/>
          <w:iCs/>
          <w:color w:val="5A6A7A"/>
          <w:sz w:val="26"/>
          <w:szCs w:val="26"/>
        </w:rPr>
        <w:t xml:space="preserve">Full Architectural Design Specification  •  Version 4.0</w:t>
      </w:r>
    </w:p>
    <w:p>
      <w:pPr>
        <w:pBdr>
          <w:bottom w:val="single" w:color="2E86AB" w:sz="12" w:space="8"/>
        </w:pBdr>
        <w:spacing w:before="0" w:after="0"/>
        <w:jc w:val="center"/>
      </w:pPr>
      <w:r>
        <w:rPr>
          <w:rFonts w:ascii="Arial" w:cs="Arial" w:eastAsia="Arial" w:hAnsi="Arial"/>
          <w:sz w:val="22"/>
          <w:szCs w:val="22"/>
        </w:rPr>
        <w:t xml:space="preserve"/>
      </w:r>
    </w:p>
    <w:p>
      <w:pPr>
        <w:spacing w:before="0" w:after="400"/>
      </w:pPr>
      <w:r>
        <w:t xml:space="preserve"/>
      </w:r>
    </w:p>
    <w:p>
      <w:pPr>
        <w:spacing w:before="0" w:after="80"/>
        <w:jc w:val="center"/>
      </w:pPr>
      <w:r>
        <w:rPr>
          <w:rFonts w:ascii="Arial" w:cs="Arial" w:eastAsia="Arial" w:hAnsi="Arial"/>
          <w:i/>
          <w:iCs/>
          <w:color w:val="1C1C1C"/>
          <w:sz w:val="24"/>
          <w:szCs w:val="24"/>
        </w:rPr>
        <w:t xml:space="preserve">A self-expanding, uncertainty-driven, embedding-routed expert system</w:t>
      </w:r>
    </w:p>
    <w:p>
      <w:pPr>
        <w:spacing w:before="0" w:after="80"/>
        <w:jc w:val="center"/>
      </w:pPr>
      <w:r>
        <w:rPr>
          <w:rFonts w:ascii="Arial" w:cs="Arial" w:eastAsia="Arial" w:hAnsi="Arial"/>
          <w:i/>
          <w:iCs/>
          <w:color w:val="1C1C1C"/>
          <w:sz w:val="24"/>
          <w:szCs w:val="24"/>
        </w:rPr>
        <w:t xml:space="preserve">with pre-trained domain bootstrapping, frozen MRL encoder, robust BLoB uncertainty,</w:t>
      </w:r>
    </w:p>
    <w:p>
      <w:pPr>
        <w:spacing w:before="0" w:after="2000"/>
        <w:jc w:val="center"/>
      </w:pPr>
      <w:r>
        <w:rPr>
          <w:rFonts w:ascii="Arial" w:cs="Arial" w:eastAsia="Arial" w:hAnsi="Arial"/>
          <w:i/>
          <w:iCs/>
          <w:color w:val="1C1C1C"/>
          <w:sz w:val="24"/>
          <w:szCs w:val="24"/>
        </w:rPr>
        <w:t xml:space="preserve">and an expert-aware synthesis model for planning and semantic alignment.</w:t>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0.  System Overview</w:t>
      </w:r>
    </w:p>
    <w:p>
      <w:pPr>
        <w:spacing w:before="60" w:after="100"/>
      </w:pPr>
      <w:r>
        <w:rPr>
          <w:rFonts w:ascii="Arial" w:cs="Arial" w:eastAsia="Arial" w:hAnsi="Arial"/>
          <w:color w:val="1C1C1C"/>
          <w:sz w:val="22"/>
          <w:szCs w:val="22"/>
        </w:rPr>
        <w:t xml:space="preserve">This document specifies the complete architectural design of a Dynamic Expanding Mixture of Experts (DEMoE) system, version 4.0. The primary additions over v3.0 are: restoration of BLoB as the primary Bayesian uncertainty mechanism with robust training improvements (MAP initialization, cyclical KL annealing, structured variational approximation) replacing Laplace-LoRA as primary; and introduction of the Expert-Aware Synthesis Model — a fine-tuned general model that provides both pre-routing query planning and post-activation cross-expert semantic alignment, closing the previously open cross-expert alignment problem.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3"/>
                <w:szCs w:val="23"/>
              </w:rPr>
              <w:t xml:space="preserve">Seven Defining Properties of DEMoE v4.0</w:t>
            </w:r>
          </w:p>
          <w:p>
            <w:pPr>
              <w:pStyle w:val="ListParagraph"/>
              <w:numPr>
                <w:ilvl w:val="0"/>
                <w:numId w:val="2"/>
              </w:numPr>
              <w:spacing w:before="40" w:after="40"/>
            </w:pPr>
            <w:r>
              <w:rPr>
                <w:rFonts w:ascii="Arial" w:cs="Arial" w:eastAsia="Arial" w:hAnsi="Arial"/>
                <w:b/>
                <w:bCs/>
                <w:color w:val="1B3A5C"/>
                <w:sz w:val="21"/>
                <w:szCs w:val="21"/>
              </w:rPr>
              <w:t xml:space="preserve">Self-Expansion: </w:t>
            </w:r>
            <w:r>
              <w:rPr>
                <w:rFonts w:ascii="Arial" w:cs="Arial" w:eastAsia="Arial" w:hAnsi="Arial"/>
                <w:color w:val="1C1C1C"/>
                <w:sz w:val="21"/>
                <w:szCs w:val="21"/>
              </w:rPr>
              <w:t xml:space="preserve">The system creates new expert models and adapters autonomously in response to detected knowledge gaps, without human intervention.</w:t>
            </w:r>
          </w:p>
          <w:p>
            <w:pPr>
              <w:pStyle w:val="ListParagraph"/>
              <w:numPr>
                <w:ilvl w:val="0"/>
                <w:numId w:val="2"/>
              </w:numPr>
              <w:spacing w:before="40" w:after="40"/>
            </w:pPr>
            <w:r>
              <w:rPr>
                <w:rFonts w:ascii="Arial" w:cs="Arial" w:eastAsia="Arial" w:hAnsi="Arial"/>
                <w:b/>
                <w:bCs/>
                <w:color w:val="1B3A5C"/>
                <w:sz w:val="21"/>
                <w:szCs w:val="21"/>
              </w:rPr>
              <w:t xml:space="preserve">Geometric Routing: </w:t>
            </w:r>
            <w:r>
              <w:rPr>
                <w:rFonts w:ascii="Arial" w:cs="Arial" w:eastAsia="Arial" w:hAnsi="Arial"/>
                <w:color w:val="1C1C1C"/>
                <w:sz w:val="21"/>
                <w:szCs w:val="21"/>
              </w:rPr>
              <w:t xml:space="preserve">All routing decisions are made by nearest-neighbor search in a unified MRL embedding space. No trained router network exists. Routing generalizes to new experts the moment they are indexed.</w:t>
            </w:r>
          </w:p>
          <w:p>
            <w:pPr>
              <w:pStyle w:val="ListParagraph"/>
              <w:numPr>
                <w:ilvl w:val="0"/>
                <w:numId w:val="2"/>
              </w:numPr>
              <w:spacing w:before="40" w:after="40"/>
            </w:pPr>
            <w:r>
              <w:rPr>
                <w:rFonts w:ascii="Arial" w:cs="Arial" w:eastAsia="Arial" w:hAnsi="Arial"/>
                <w:b/>
                <w:bCs/>
                <w:color w:val="1B3A5C"/>
                <w:sz w:val="21"/>
                <w:szCs w:val="21"/>
              </w:rPr>
              <w:t xml:space="preserve">Accurate Bayesian Uncertainty: </w:t>
            </w:r>
            <w:r>
              <w:rPr>
                <w:rFonts w:ascii="Arial" w:cs="Arial" w:eastAsia="Arial" w:hAnsi="Arial"/>
                <w:color w:val="1C1C1C"/>
                <w:sz w:val="21"/>
                <w:szCs w:val="21"/>
              </w:rPr>
              <w:t xml:space="preserve">BLoB with MAP initialization and cyclical KL annealing provides end-to-end calibrated epistemic uncertainty — the foundational signal driving all expansion decisions. Laplace-LoRA is reserved exclusively for bootstrapped external adapters where BLoB retraining is not possible.</w:t>
            </w:r>
          </w:p>
          <w:p>
            <w:pPr>
              <w:pStyle w:val="ListParagraph"/>
              <w:numPr>
                <w:ilvl w:val="0"/>
                <w:numId w:val="2"/>
              </w:numPr>
              <w:spacing w:before="40" w:after="40"/>
            </w:pPr>
            <w:r>
              <w:rPr>
                <w:rFonts w:ascii="Arial" w:cs="Arial" w:eastAsia="Arial" w:hAnsi="Arial"/>
                <w:b/>
                <w:bCs/>
                <w:color w:val="1B3A5C"/>
                <w:sz w:val="21"/>
                <w:szCs w:val="21"/>
              </w:rPr>
              <w:t xml:space="preserve">Two-Level Specialization: </w:t>
            </w:r>
            <w:r>
              <w:rPr>
                <w:rFonts w:ascii="Arial" w:cs="Arial" w:eastAsia="Arial" w:hAnsi="Arial"/>
                <w:color w:val="1C1C1C"/>
                <w:sz w:val="21"/>
                <w:szCs w:val="21"/>
              </w:rPr>
              <w:t xml:space="preserve">Broad domain coverage in independent base expert models; fine-grained sub-domain coverage in BLoB adapter layers on top of those base models.</w:t>
            </w:r>
          </w:p>
          <w:p>
            <w:pPr>
              <w:pStyle w:val="ListParagraph"/>
              <w:numPr>
                <w:ilvl w:val="0"/>
                <w:numId w:val="2"/>
              </w:numPr>
              <w:spacing w:before="40" w:after="40"/>
            </w:pPr>
            <w:r>
              <w:rPr>
                <w:rFonts w:ascii="Arial" w:cs="Arial" w:eastAsia="Arial" w:hAnsi="Arial"/>
                <w:b/>
                <w:bCs/>
                <w:color w:val="1B3A5C"/>
                <w:sz w:val="21"/>
                <w:szCs w:val="21"/>
              </w:rPr>
              <w:t xml:space="preserve">Pre-Trained Bootstrapping: </w:t>
            </w:r>
            <w:r>
              <w:rPr>
                <w:rFonts w:ascii="Arial" w:cs="Arial" w:eastAsia="Arial" w:hAnsi="Arial"/>
                <w:color w:val="1C1C1C"/>
                <w:sz w:val="21"/>
                <w:szCs w:val="21"/>
              </w:rPr>
              <w:t xml:space="preserve">The expert library is seeded from the existing ecosystem of open-source domain-specific models, eliminating cold-start training costs for common domains.</w:t>
            </w:r>
          </w:p>
          <w:p>
            <w:pPr>
              <w:pStyle w:val="ListParagraph"/>
              <w:numPr>
                <w:ilvl w:val="0"/>
                <w:numId w:val="2"/>
              </w:numPr>
              <w:spacing w:before="40" w:after="40"/>
            </w:pPr>
            <w:r>
              <w:rPr>
                <w:rFonts w:ascii="Arial" w:cs="Arial" w:eastAsia="Arial" w:hAnsi="Arial"/>
                <w:b/>
                <w:bCs/>
                <w:color w:val="1B3A5C"/>
                <w:sz w:val="21"/>
                <w:szCs w:val="21"/>
              </w:rPr>
              <w:t xml:space="preserve">Frozen Encoder Stability: </w:t>
            </w:r>
            <w:r>
              <w:rPr>
                <w:rFonts w:ascii="Arial" w:cs="Arial" w:eastAsia="Arial" w:hAnsi="Arial"/>
                <w:color w:val="1C1C1C"/>
                <w:sz w:val="21"/>
                <w:szCs w:val="21"/>
              </w:rPr>
              <w:t xml:space="preserve">The shared MRL encoder backbone is permanently frozen. Domain-specific projection adapters handle new domain accommodation without FAISS index rebuilds.</w:t>
            </w:r>
          </w:p>
          <w:p>
            <w:pPr>
              <w:pStyle w:val="ListParagraph"/>
              <w:numPr>
                <w:ilvl w:val="0"/>
                <w:numId w:val="2"/>
              </w:numPr>
              <w:spacing w:before="40" w:after="40"/>
            </w:pPr>
            <w:r>
              <w:rPr>
                <w:rFonts w:ascii="Arial" w:cs="Arial" w:eastAsia="Arial" w:hAnsi="Arial"/>
                <w:b/>
                <w:bCs/>
                <w:color w:val="1B3A5C"/>
                <w:sz w:val="21"/>
                <w:szCs w:val="21"/>
              </w:rPr>
              <w:t xml:space="preserve">Expert-Aware Synthesis Model: </w:t>
            </w:r>
            <w:r>
              <w:rPr>
                <w:rFonts w:ascii="Arial" w:cs="Arial" w:eastAsia="Arial" w:hAnsi="Arial"/>
                <w:color w:val="1C1C1C"/>
                <w:sz w:val="21"/>
                <w:szCs w:val="21"/>
              </w:rPr>
              <w:t xml:space="preserve">A general model fine-tuned on current expert outputs provides query planning before routing and cross-expert semantic alignment after activation, with lightweight LoRA updates whenever new experts are registered.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48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Primary Function</w:t>
            </w:r>
          </w:p>
        </w:tc>
        <w:tc>
          <w:tcPr>
            <w:tcW w:type="dxa" w:w="348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v4.0 Change from v3.0</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Unified MRL Embedding Space</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Adaptive coarse-to-fine routing via nested embeddings</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No change — frozen backbone + domain projection adapters retained</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Pre-Trained Expert Bootstrap</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Seeds expert library from open-source domain models</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change — bootstrap registry and decision tree retained</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Domain-Specific Base Expert Models</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Deep domain knowledge; substrate for BLoB adapters</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No change — TIES merging, two-phase training retained</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BLoB Adapter Layer (Primary)</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Sub-domain specialization + calibrated epistemic uncertainty</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RESTORED as primary with MAP init + cyclical KL + structured VI</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Laplace-LoRA (Bootstrap Only)</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Post-hoc uncertainty for externally bootstrapped LoRA checkpoints</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DEMOTED — used only when BLoB training is not possible</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Epistemic Uncertainty System</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Two-level signals; learned soft thresholds</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Minor: BLoB-only for internal adapters; Laplace for bootstrapped only</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Expert-Aware Synthesis Model</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Query planning + cross-expert semantic alignment</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NEW — replaces complexity classifier and Tier 3 synthesis; closes alignment open problem</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Geometric Router</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Proximity routing + budget-constrained multi-expert activation</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Planning pass from synthesis model replaces multi-vector encoder</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Expert Creation Pipeline</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Gap closure from bootstrapped or trained experts</w:t>
            </w:r>
          </w:p>
        </w:tc>
        <w:tc>
          <w:tcPr>
            <w:tcW w:type="dxa" w:w="348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No change — checks bootstrap registry first</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Dynamic Learning Protocol</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Three-timescale updates with compatibility testing</w:t>
            </w:r>
          </w:p>
        </w:tc>
        <w:tc>
          <w:tcPr>
            <w:tcW w:type="dxa" w:w="348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Synthesis model update added to medium timescale on expert registration</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1.  Unified MRL Embedding Space</w:t>
      </w:r>
    </w:p>
    <w:p>
      <w:pPr>
        <w:pStyle w:val="Heading2"/>
        <w:spacing w:before="320" w:after="120"/>
      </w:pPr>
      <w:r>
        <w:rPr>
          <w:rFonts w:ascii="Arial" w:cs="Arial" w:eastAsia="Arial" w:hAnsi="Arial"/>
          <w:b/>
          <w:bCs/>
          <w:color w:val="2E86AB"/>
          <w:sz w:val="28"/>
          <w:szCs w:val="28"/>
        </w:rPr>
        <w:t xml:space="preserve">1.1  Frozen Backbone Design</w:t>
      </w:r>
    </w:p>
    <w:p>
      <w:pPr>
        <w:spacing w:before="60" w:after="100"/>
      </w:pPr>
      <w:r>
        <w:rPr>
          <w:rFonts w:ascii="Arial" w:cs="Arial" w:eastAsia="Arial" w:hAnsi="Arial"/>
          <w:color w:val="1C1C1C"/>
          <w:sz w:val="22"/>
          <w:szCs w:val="22"/>
        </w:rPr>
        <w:t xml:space="preserve">The shared encoder backbone is permanently frozen. Any change to the encoder shifts every object in the embedding space simultaneously — expert centroids, document embeddings, query embeddings — invalidating the FAISS index and requiring a full system-wide recompute. This is not a maintenance inconvenience but a system-wide consistency break. The v4.0 architecture eliminates this by handling domain accommodation through lightweight domain projection adapters rather than encoder updates.</w:t>
      </w:r>
    </w:p>
    <w:p>
      <w:pPr>
        <w:spacing w:before="60" w:after="100"/>
      </w:pPr>
      <w:r>
        <w:rPr>
          <w:rFonts w:ascii="Arial" w:cs="Arial" w:eastAsia="Arial" w:hAnsi="Arial"/>
          <w:color w:val="1C1C1C"/>
          <w:sz w:val="22"/>
          <w:szCs w:val="22"/>
        </w:rPr>
        <w:t xml:space="preserve">Modern general-purpose encoders — BGE-M3, E5-large-instruct trained with Matryoshka representation learning — already provide reliable proximity signals across most professional and scientific domains. They degrade only in narrow circumstances: highly specialized sub-fields with idiosyncratic post-training vocabulary, and cross-lingual domains with uneven multilingual coverage. Domain projection adapters correct these local inadequacies without touching the global embedding space.</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1.2  Matryoshka Representation Learning</w:t>
      </w:r>
    </w:p>
    <w:p>
      <w:pPr>
        <w:spacing w:before="60" w:after="100"/>
      </w:pPr>
      <w:r>
        <w:rPr>
          <w:rFonts w:ascii="Arial" w:cs="Arial" w:eastAsia="Arial" w:hAnsi="Arial"/>
          <w:color w:val="1C1C1C"/>
          <w:sz w:val="22"/>
          <w:szCs w:val="22"/>
        </w:rPr>
        <w:t xml:space="preserve">The encoder is an MRL-trained model producing nested embeddings where the first d dimensions form a valid representation at granularity d, for nested sizes {32, 64, 128, 256, 512, 768}. MRL imposes no additional inference cost; it modifies only the training loss to simultaneously optimize all nested representations.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MRL Adaptive Routing — Two-Stage Funnel</w:t>
            </w:r>
          </w:p>
          <w:p>
            <w:pPr>
              <w:spacing w:before="60" w:after="100"/>
            </w:pPr>
            <w:r>
              <w:rPr>
                <w:rFonts w:ascii="Arial" w:cs="Arial" w:eastAsia="Arial" w:hAnsi="Arial"/>
                <w:color w:val="1C1C1C"/>
                <w:sz w:val="22"/>
                <w:szCs w:val="22"/>
              </w:rPr>
              <w:t xml:space="preserve">Stage 1 — Coarse shortlisting: embed query using the first 64 MRL dimensions. Run approximate nearest-neighbor search over 64-dimensional expert centroid prefixes. Retrieve K_coarse = 20 candidates. Approximately 12x cheaper than full-dimensional search.</w:t>
            </w:r>
          </w:p>
          <w:p>
            <w:pPr>
              <w:spacing w:before="60" w:after="100"/>
            </w:pPr>
            <w:r>
              <w:rPr>
                <w:rFonts w:ascii="Arial" w:cs="Arial" w:eastAsia="Arial" w:hAnsi="Arial"/>
                <w:color w:val="1C1C1C"/>
                <w:sz w:val="22"/>
                <w:szCs w:val="22"/>
              </w:rPr>
              <w:t xml:space="preserve">Stage 2 — Fine re-ranking: embed query using the full 768 MRL dimensions. Re-rank the 20 shortlisted candidates by full-dimensional cosine similarity. Retain K_fine = 5 experts for uncertainty evaluation. Full-dimensional computation applied to 20 candidates rather than the full index, keeping cost constant as the expert population grows.</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1.3  Domain Projection Adapters</w:t>
      </w:r>
    </w:p>
    <w:p>
      <w:pPr>
        <w:spacing w:before="60" w:after="100"/>
      </w:pPr>
      <w:r>
        <w:rPr>
          <w:rFonts w:ascii="Arial" w:cs="Arial" w:eastAsia="Arial" w:hAnsi="Arial"/>
          <w:color w:val="1C1C1C"/>
          <w:sz w:val="22"/>
          <w:szCs w:val="22"/>
        </w:rPr>
        <w:t xml:space="preserve">When routing coherence for a specific domain falls below 0.70 for more than 3 consecutive days — fewer than 70% of near-identical queries routing to the same expert — a domain projection adapter is created rather than updating the global encoder.</w:t>
      </w:r>
    </w:p>
    <w:p>
      <w:pPr>
        <w:pStyle w:val="ListParagraph"/>
        <w:numPr>
          <w:ilvl w:val="0"/>
          <w:numId w:val="2"/>
        </w:numPr>
        <w:spacing w:before="40" w:after="40"/>
      </w:pPr>
      <w:r>
        <w:rPr>
          <w:rFonts w:ascii="Arial" w:cs="Arial" w:eastAsia="Arial" w:hAnsi="Arial"/>
          <w:b/>
          <w:bCs/>
          <w:color w:val="1B3A5C"/>
          <w:sz w:val="21"/>
          <w:szCs w:val="21"/>
        </w:rPr>
        <w:t xml:space="preserve">Architecture: </w:t>
      </w:r>
      <w:r>
        <w:rPr>
          <w:rFonts w:ascii="Arial" w:cs="Arial" w:eastAsia="Arial" w:hAnsi="Arial"/>
          <w:color w:val="1C1C1C"/>
          <w:sz w:val="21"/>
          <w:szCs w:val="21"/>
        </w:rPr>
        <w:t xml:space="preserve">A learned linear map P ∈ R^(d×d) or low-rank factorization P = AB^T that transforms query and document embeddings into a domain-adjusted space. Initialized to identity, trained on (query, relevant document, irrelevant document) triplets from the problematic domain using InfoNCE contrastive loss.</w:t>
      </w:r>
    </w:p>
    <w:p>
      <w:pPr>
        <w:pStyle w:val="ListParagraph"/>
        <w:numPr>
          <w:ilvl w:val="0"/>
          <w:numId w:val="2"/>
        </w:numPr>
        <w:spacing w:before="40" w:after="40"/>
      </w:pPr>
      <w:r>
        <w:rPr>
          <w:rFonts w:ascii="Arial" w:cs="Arial" w:eastAsia="Arial" w:hAnsi="Arial"/>
          <w:b/>
          <w:bCs/>
          <w:color w:val="1B3A5C"/>
          <w:sz w:val="21"/>
          <w:szCs w:val="21"/>
        </w:rPr>
        <w:t xml:space="preserve">Indexing: </w:t>
      </w:r>
      <w:r>
        <w:rPr>
          <w:rFonts w:ascii="Arial" w:cs="Arial" w:eastAsia="Arial" w:hAnsi="Arial"/>
          <w:color w:val="1C1C1C"/>
          <w:sz w:val="21"/>
          <w:szCs w:val="21"/>
        </w:rPr>
        <w:t xml:space="preserve">Registered per domain alongside the expert registry. Applied to query embeddings before MRL retrieval for queries in the affected neighborhood. Expert centroid entries for the affected domain are stored in their projected form. No global FAISS rebuild required — only affected domain centroid entries are updated.</w:t>
      </w:r>
    </w:p>
    <w:p>
      <w:pPr>
        <w:pStyle w:val="ListParagraph"/>
        <w:numPr>
          <w:ilvl w:val="0"/>
          <w:numId w:val="2"/>
        </w:numPr>
        <w:spacing w:before="40" w:after="40"/>
      </w:pPr>
      <w:r>
        <w:rPr>
          <w:rFonts w:ascii="Arial" w:cs="Arial" w:eastAsia="Arial" w:hAnsi="Arial"/>
          <w:b/>
          <w:bCs/>
          <w:color w:val="1B3A5C"/>
          <w:sz w:val="21"/>
          <w:szCs w:val="21"/>
        </w:rPr>
        <w:t xml:space="preserve">Scale limit: </w:t>
      </w:r>
      <w:r>
        <w:rPr>
          <w:rFonts w:ascii="Arial" w:cs="Arial" w:eastAsia="Arial" w:hAnsi="Arial"/>
          <w:color w:val="1C1C1C"/>
          <w:sz w:val="21"/>
          <w:szCs w:val="21"/>
        </w:rPr>
        <w:t xml:space="preserve">Cap at 50 active projection adapters. Adapter selection at inference uses a single FAISS lookup of the query against adapter centroid embeddings — O(log N_adapters) and negligible at this scale.</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1.4  What Gets Embedded</w:t>
      </w:r>
    </w:p>
    <w:p>
      <w:pPr>
        <w:pStyle w:val="ListParagraph"/>
        <w:numPr>
          <w:ilvl w:val="0"/>
          <w:numId w:val="2"/>
        </w:numPr>
        <w:spacing w:before="40" w:after="40"/>
      </w:pPr>
      <w:r>
        <w:rPr>
          <w:rFonts w:ascii="Arial" w:cs="Arial" w:eastAsia="Arial" w:hAnsi="Arial"/>
          <w:b/>
          <w:bCs/>
          <w:color w:val="1B3A5C"/>
          <w:sz w:val="21"/>
          <w:szCs w:val="21"/>
        </w:rPr>
        <w:t xml:space="preserve">Queries: </w:t>
      </w:r>
      <w:r>
        <w:rPr>
          <w:rFonts w:ascii="Arial" w:cs="Arial" w:eastAsia="Arial" w:hAnsi="Arial"/>
          <w:color w:val="1C1C1C"/>
          <w:sz w:val="21"/>
          <w:szCs w:val="21"/>
        </w:rPr>
        <w:t xml:space="preserve">Embedded using the MRL encoder after passing through the Expert-Aware Synthesis Model's planning pass (Section 4), which provides natural language concept decompositions that replace raw multi-vector encoding. Domain projection adapters applied per-concept if registered.</w:t>
      </w:r>
    </w:p>
    <w:p>
      <w:pPr>
        <w:pStyle w:val="ListParagraph"/>
        <w:numPr>
          <w:ilvl w:val="0"/>
          <w:numId w:val="2"/>
        </w:numPr>
        <w:spacing w:before="40" w:after="40"/>
      </w:pPr>
      <w:r>
        <w:rPr>
          <w:rFonts w:ascii="Arial" w:cs="Arial" w:eastAsia="Arial" w:hAnsi="Arial"/>
          <w:b/>
          <w:bCs/>
          <w:color w:val="1B3A5C"/>
          <w:sz w:val="21"/>
          <w:szCs w:val="21"/>
        </w:rPr>
        <w:t xml:space="preserve">Documents: </w:t>
      </w:r>
      <w:r>
        <w:rPr>
          <w:rFonts w:ascii="Arial" w:cs="Arial" w:eastAsia="Arial" w:hAnsi="Arial"/>
          <w:color w:val="1C1C1C"/>
          <w:sz w:val="21"/>
          <w:szCs w:val="21"/>
        </w:rPr>
        <w:t xml:space="preserve">Embedded at indexing time using the full 768-dimensional MRL encoder. 64-dimensional prefix also stored for Stage 1. Projection adapters applied at query time, not indexing time.</w:t>
      </w:r>
    </w:p>
    <w:p>
      <w:pPr>
        <w:pStyle w:val="ListParagraph"/>
        <w:numPr>
          <w:ilvl w:val="0"/>
          <w:numId w:val="2"/>
        </w:numPr>
        <w:spacing w:before="40" w:after="40"/>
      </w:pPr>
      <w:r>
        <w:rPr>
          <w:rFonts w:ascii="Arial" w:cs="Arial" w:eastAsia="Arial" w:hAnsi="Arial"/>
          <w:b/>
          <w:bCs/>
          <w:color w:val="1B3A5C"/>
          <w:sz w:val="21"/>
          <w:szCs w:val="21"/>
        </w:rPr>
        <w:t xml:space="preserve">Expert Models: </w:t>
      </w:r>
      <w:r>
        <w:rPr>
          <w:rFonts w:ascii="Arial" w:cs="Arial" w:eastAsia="Arial" w:hAnsi="Arial"/>
          <w:color w:val="1C1C1C"/>
          <w:sz w:val="21"/>
          <w:szCs w:val="21"/>
        </w:rPr>
        <w:t xml:space="preserve">Represented by the centroid of their training corpus embeddings at full 768 dimensions plus a 64-dimensional prefix centroid. Multi-centroid representation for broad experts. Updated via streaming centroid at fast timescale.</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1.5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1.A — MRL Requires Training with Matryoshka Loss</w:t>
            </w:r>
          </w:p>
          <w:p>
            <w:pPr>
              <w:spacing w:before="60" w:after="100"/>
            </w:pPr>
            <w:r>
              <w:rPr>
                <w:rFonts w:ascii="Arial" w:cs="Arial" w:eastAsia="Arial" w:hAnsi="Arial"/>
                <w:color w:val="1C1C1C"/>
                <w:sz w:val="22"/>
                <w:szCs w:val="22"/>
              </w:rPr>
              <w:t xml:space="preserve">MRL cannot be applied post-hoc to a standard pre-trained encoder without retraining. If the chosen encoder was not MRL-trained, the architecture falls back to single-stage full-dimensional retrieval.</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BGE-M3 and E5-Mistral variants with MRL training are available as open-source checkpoints. The Matryoshka-Adaptor framework (Yoon et al., 2024) can apply MRL properties post-hoc to an existing encoder via unsupervised fine-tuning, preserving most efficiency benefits without full retraining.</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2.  Pre-Trained Expert Bootstrap</w:t>
      </w:r>
    </w:p>
    <w:p>
      <w:pPr>
        <w:pStyle w:val="Heading2"/>
        <w:spacing w:before="320" w:after="120"/>
      </w:pPr>
      <w:r>
        <w:rPr>
          <w:rFonts w:ascii="Arial" w:cs="Arial" w:eastAsia="Arial" w:hAnsi="Arial"/>
          <w:b/>
          <w:bCs/>
          <w:color w:val="2E86AB"/>
          <w:sz w:val="28"/>
          <w:szCs w:val="28"/>
        </w:rPr>
        <w:t xml:space="preserve">2.1  Purpose</w:t>
      </w:r>
    </w:p>
    <w:p>
      <w:pPr>
        <w:spacing w:before="60" w:after="100"/>
      </w:pPr>
      <w:r>
        <w:rPr>
          <w:rFonts w:ascii="Arial" w:cs="Arial" w:eastAsia="Arial" w:hAnsi="Arial"/>
          <w:color w:val="1C1C1C"/>
          <w:sz w:val="22"/>
          <w:szCs w:val="22"/>
        </w:rPr>
        <w:t xml:space="preserve">The open-source ecosystem contains dozens of high-quality domain-specific language models trained on massive curated corpora. The bootstrap layer treats these as the primary source of base expert initialization, reducing cold-start time from months to days for common domains. The bootstrap registry is a curated catalog of open-source models with metadata describing domain coverage, architecture, training corpus, quality benchmark scores, and license.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Domain</w:t>
            </w:r>
          </w:p>
        </w:tc>
        <w:tc>
          <w:tcPr>
            <w:tcW w:type="dxa" w:w="33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Bootstrap Models</w:t>
            </w:r>
          </w:p>
        </w:tc>
        <w:tc>
          <w:tcPr>
            <w:tcW w:type="dxa" w:w="4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Coverage Notes</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Biomedical / Clinical</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Meditron-70B, BioMedLM, PMC-LLaMA</w:t>
            </w:r>
          </w:p>
        </w:tc>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Strong on clinical guidelines, pharmacology, pathophysiology. Weaker on cutting-edge research.</w:t>
            </w:r>
          </w:p>
        </w:tc>
      </w:tr>
      <w:tr>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General Science</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Galactica-120B, SciGPT</w:t>
            </w:r>
          </w:p>
        </w:tc>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Strong on established science. Weaker on very recent publications.</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Software Engineering</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CodeLlama-70B, DeepSeek-Coder, StarCoder2</w:t>
            </w:r>
          </w:p>
        </w:tc>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Strong on common languages. Variable on niche tools.</w:t>
            </w:r>
          </w:p>
        </w:tc>
      </w:tr>
      <w:tr>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Legal</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SaulLM-7B, LegalBERT</w:t>
            </w:r>
          </w:p>
        </w:tc>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 law best covered. Jurisdiction specificity varies.</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Finance</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BloombergGPT, FinGPT, Fin-LLaMA</w:t>
            </w:r>
          </w:p>
        </w:tc>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Strong on market analysis. Weaker on regulatory edge cases.</w:t>
            </w:r>
          </w:p>
        </w:tc>
      </w:tr>
      <w:tr>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Mathematics</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Llemma, DeepSeek-Math, Minerva</w:t>
            </w:r>
          </w:p>
        </w:tc>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Strong formal reasoning. Weaker on applied/numerical domains.</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General fallback</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Mistral-7B, Qwen2.5, LLaMA-3.1</w:t>
            </w:r>
          </w:p>
        </w:tc>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Used as Tier 2–3 initialization when no specialist exists.</w:t>
            </w:r>
          </w:p>
        </w:tc>
      </w:tr>
    </w:tbl>
    <w:p>
      <w:pPr>
        <w:spacing w:before="0" w:after="80"/>
      </w:pPr>
      <w:r>
        <w:t xml:space="preserve"/>
      </w:r>
    </w:p>
    <w:p>
      <w:pPr>
        <w:pStyle w:val="Heading2"/>
        <w:spacing w:before="320" w:after="120"/>
      </w:pPr>
      <w:r>
        <w:rPr>
          <w:rFonts w:ascii="Arial" w:cs="Arial" w:eastAsia="Arial" w:hAnsi="Arial"/>
          <w:b/>
          <w:bCs/>
          <w:color w:val="2E86AB"/>
          <w:sz w:val="28"/>
          <w:szCs w:val="28"/>
        </w:rPr>
        <w:t xml:space="preserve">2.2  Bootstrap vs. Train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Bootstrap vs. Train Decision Tree</w:t>
            </w:r>
          </w:p>
          <w:p>
            <w:pPr>
              <w:spacing w:before="60" w:after="100"/>
            </w:pPr>
            <w:r>
              <w:rPr>
                <w:rFonts w:ascii="Arial" w:cs="Arial" w:eastAsia="Arial" w:hAnsi="Arial"/>
                <w:color w:val="1C1C1C"/>
                <w:sz w:val="22"/>
                <w:szCs w:val="22"/>
              </w:rPr>
              <w:t xml:space="preserve">IF bootstrap model within cosine distance 0.20 AND coverage metadata indicates relevance:</w:t>
            </w:r>
          </w:p>
          <w:p>
            <w:pPr>
              <w:pStyle w:val="ListParagraph"/>
              <w:numPr>
                <w:ilvl w:val="0"/>
                <w:numId w:val="2"/>
              </w:numPr>
              <w:spacing w:before="40" w:after="40"/>
            </w:pPr>
            <w:r>
              <w:rPr>
                <w:rFonts w:ascii="Arial" w:cs="Arial" w:eastAsia="Arial" w:hAnsi="Arial"/>
                <w:color w:val="1C1C1C"/>
                <w:sz w:val="21"/>
                <w:szCs w:val="21"/>
              </w:rPr>
              <w:t xml:space="preserve">Register directly as new base expert. Skip all training. Queue BLoB adapter creation for sub-domain coverage.</w:t>
            </w:r>
          </w:p>
          <w:p>
            <w:pPr>
              <w:spacing w:before="0" w:after="40"/>
            </w:pPr>
            <w:r>
              <w:t xml:space="preserve"/>
            </w:r>
          </w:p>
          <w:p>
            <w:pPr>
              <w:spacing w:before="60" w:after="100"/>
            </w:pPr>
            <w:r>
              <w:rPr>
                <w:rFonts w:ascii="Arial" w:cs="Arial" w:eastAsia="Arial" w:hAnsi="Arial"/>
                <w:color w:val="1C1C1C"/>
                <w:sz w:val="22"/>
                <w:szCs w:val="22"/>
              </w:rPr>
              <w:t xml:space="preserve">IF bootstrap model within distance 0.30 but incomplete coverage:</w:t>
            </w:r>
          </w:p>
          <w:p>
            <w:pPr>
              <w:pStyle w:val="ListParagraph"/>
              <w:numPr>
                <w:ilvl w:val="0"/>
                <w:numId w:val="2"/>
              </w:numPr>
              <w:spacing w:before="40" w:after="40"/>
            </w:pPr>
            <w:r>
              <w:rPr>
                <w:rFonts w:ascii="Arial" w:cs="Arial" w:eastAsia="Arial" w:hAnsi="Arial"/>
                <w:color w:val="1C1C1C"/>
                <w:sz w:val="21"/>
                <w:szCs w:val="21"/>
              </w:rPr>
              <w:t xml:space="preserve">Initialize from bootstrap weights. Run Phase-2 fine-tuning only (uncertainty-aware refinement on gap-specific corpus). Substantially cheaper than full training.</w:t>
            </w:r>
          </w:p>
          <w:p>
            <w:pPr>
              <w:spacing w:before="0" w:after="40"/>
            </w:pPr>
            <w:r>
              <w:t xml:space="preserve"/>
            </w:r>
          </w:p>
          <w:p>
            <w:pPr>
              <w:spacing w:before="60" w:after="100"/>
            </w:pPr>
            <w:r>
              <w:rPr>
                <w:rFonts w:ascii="Arial" w:cs="Arial" w:eastAsia="Arial" w:hAnsi="Arial"/>
                <w:color w:val="1C1C1C"/>
                <w:sz w:val="22"/>
                <w:szCs w:val="22"/>
              </w:rPr>
              <w:t xml:space="preserve">IF no bootstrap model within distance 0.30:</w:t>
            </w:r>
          </w:p>
          <w:p>
            <w:pPr>
              <w:pStyle w:val="ListParagraph"/>
              <w:numPr>
                <w:ilvl w:val="0"/>
                <w:numId w:val="2"/>
              </w:numPr>
              <w:spacing w:before="40" w:after="40"/>
            </w:pPr>
            <w:r>
              <w:rPr>
                <w:rFonts w:ascii="Arial" w:cs="Arial" w:eastAsia="Arial" w:hAnsi="Arial"/>
                <w:color w:val="1C1C1C"/>
                <w:sz w:val="21"/>
                <w:szCs w:val="21"/>
              </w:rPr>
              <w:t xml:space="preserve">Full two-phase training using nearest bootstrap model within 0.50 as initialization, or general-purpose checkpoint otherwise.</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2.3  Adapter Ecosystem Integration</w:t>
      </w:r>
    </w:p>
    <w:p>
      <w:pPr>
        <w:spacing w:before="60" w:after="100"/>
      </w:pPr>
      <w:r>
        <w:rPr>
          <w:rFonts w:ascii="Arial" w:cs="Arial" w:eastAsia="Arial" w:hAnsi="Arial"/>
          <w:color w:val="1C1C1C"/>
          <w:sz w:val="22"/>
          <w:szCs w:val="22"/>
        </w:rPr>
        <w:t xml:space="preserve">Open-source LoRA fine-tunes available from HuggingFace are catalogued as adapter bootstrap candidates. Bootstrapped LoRA adapters are converted to BLoB format by using the LoRA weights as the MAP initialization point and running BLoB fine-tuning from that warm start. This is substantially cheaper than BLoB training from scratch, since the MAP is already near a good solution. Where BLoB training is truly not possible — the original training data is unavailable and the adapter corpus cannot be reconstructed — Laplace-LoRA post-hoc approximation is used as a fallback.</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2.4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2.A — License and Distribution Constraints</w:t>
            </w:r>
          </w:p>
          <w:p>
            <w:pPr>
              <w:spacing w:before="60" w:after="100"/>
            </w:pPr>
            <w:r>
              <w:rPr>
                <w:rFonts w:ascii="Arial" w:cs="Arial" w:eastAsia="Arial" w:hAnsi="Arial"/>
                <w:color w:val="1C1C1C"/>
                <w:sz w:val="22"/>
                <w:szCs w:val="22"/>
              </w:rPr>
              <w:t xml:space="preserve">Many domain-specific models carry restrictive licenses. The bootstrap registry includes license metadata and filters by deployment context. Maintain a permissively licensed fallback for every domain tier. Maintain a compliance-vetted model list for regulated domains.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2.B — Bootstrap Model Quality Variance</w:t>
            </w:r>
          </w:p>
          <w:p>
            <w:pPr>
              <w:spacing w:before="60" w:after="100"/>
            </w:pPr>
            <w:r>
              <w:rPr>
                <w:rFonts w:ascii="Arial" w:cs="Arial" w:eastAsia="Arial" w:hAnsi="Arial"/>
                <w:color w:val="1C1C1C"/>
                <w:sz w:val="22"/>
                <w:szCs w:val="22"/>
              </w:rPr>
              <w:t xml:space="preserve">Not all open-source domain models are equally reliable. Some are undertrained, miscalibrated, or trained on low-quality corpora.</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Quality score from standardized domain benchmarks (MedQA, LegalBench, HumanEval, etc.). Models below minimum quality threshold excluded from registry. Post-bootstrap validation: evaluate the expert on triggering uncertain queries and confirm uncertainty has dropped below the creation threshold. If not, bootstrap rejected and full training proceeds.</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3.  Domain-Specific Base Expert Models</w:t>
      </w:r>
    </w:p>
    <w:p>
      <w:pPr>
        <w:pStyle w:val="Heading2"/>
        <w:spacing w:before="320" w:after="120"/>
      </w:pPr>
      <w:r>
        <w:rPr>
          <w:rFonts w:ascii="Arial" w:cs="Arial" w:eastAsia="Arial" w:hAnsi="Arial"/>
          <w:b/>
          <w:bCs/>
          <w:color w:val="2E86AB"/>
          <w:sz w:val="28"/>
          <w:szCs w:val="28"/>
        </w:rPr>
        <w:t xml:space="preserve">3.1  Purpose and Role</w:t>
      </w:r>
    </w:p>
    <w:p>
      <w:pPr>
        <w:spacing w:before="60" w:after="100"/>
      </w:pPr>
      <w:r>
        <w:rPr>
          <w:rFonts w:ascii="Arial" w:cs="Arial" w:eastAsia="Arial" w:hAnsi="Arial"/>
          <w:color w:val="1C1C1C"/>
          <w:sz w:val="22"/>
          <w:szCs w:val="22"/>
        </w:rPr>
        <w:t xml:space="preserve">Base expert models are fully independent neural language models trained on or initialized from specialized domain corpora. With the bootstrap layer, many experts are initialized directly from open-source checkpoints. They provide domain-accurate reasoning and generation, and serve as the representational substrate for BLoB adapters.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3.2  Tier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18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Parameters</w:t>
            </w:r>
          </w:p>
        </w:tc>
        <w:tc>
          <w:tcPr>
            <w:tcW w:type="dxa" w:w="24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Domain Type</w:t>
            </w:r>
          </w:p>
        </w:tc>
        <w:tc>
          <w:tcPr>
            <w:tcW w:type="dxa" w:w="33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Bootstrap Available?</w:t>
            </w:r>
          </w:p>
        </w:tc>
      </w:tr>
      <w:tr>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Tier 1 — Narrow</w:t>
            </w:r>
          </w:p>
        </w:tc>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1B–3B</w:t>
            </w:r>
          </w:p>
        </w:tc>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Single narrow sub-field</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Rare — usually Phase-2 fine-tuning from Tier 2 bootstrap</w:t>
            </w:r>
          </w:p>
        </w:tc>
      </w:tr>
      <w:tr>
        <w:tc>
          <w:tcPr>
            <w:tcW w:type="dxa" w:w="18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Tier 2 — Domain</w:t>
            </w:r>
          </w:p>
        </w:tc>
        <w:tc>
          <w:tcPr>
            <w:tcW w:type="dxa" w:w="18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7B–13B</w:t>
            </w:r>
          </w:p>
        </w:tc>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Broad professional domain</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Meditron, CodeLlama, SaulLM, FinGPT, Llemma etc.</w:t>
            </w:r>
          </w:p>
        </w:tc>
      </w:tr>
      <w:tr>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Tier 3 — Cross-domain</w:t>
            </w:r>
          </w:p>
        </w:tc>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30B–70B</w:t>
            </w:r>
          </w:p>
        </w:tc>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Multi-domain cluster</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Yes — LLaMA-3.1-70B, Qwen2.5-72B as Tier 3 base</w:t>
            </w:r>
          </w:p>
        </w:tc>
      </w:tr>
    </w:tbl>
    <w:p>
      <w:pPr>
        <w:spacing w:before="0" w:after="80"/>
      </w:pPr>
      <w:r>
        <w:t xml:space="preserve"/>
      </w:r>
    </w:p>
    <w:p>
      <w:pPr>
        <w:pStyle w:val="Heading2"/>
        <w:spacing w:before="320" w:after="120"/>
      </w:pPr>
      <w:r>
        <w:rPr>
          <w:rFonts w:ascii="Arial" w:cs="Arial" w:eastAsia="Arial" w:hAnsi="Arial"/>
          <w:b/>
          <w:bCs/>
          <w:color w:val="2E86AB"/>
          <w:sz w:val="28"/>
          <w:szCs w:val="28"/>
        </w:rPr>
        <w:t xml:space="preserve">3.3  Creation Steps</w:t>
      </w:r>
    </w:p>
    <w:p>
      <w:pPr>
        <w:pStyle w:val="Heading3"/>
        <w:spacing w:before="240" w:after="80"/>
      </w:pPr>
      <w:r>
        <w:rPr>
          <w:rFonts w:ascii="Arial" w:cs="Arial" w:eastAsia="Arial" w:hAnsi="Arial"/>
          <w:b/>
          <w:bCs/>
          <w:color w:val="1B3A5C"/>
          <w:sz w:val="24"/>
          <w:szCs w:val="24"/>
        </w:rPr>
        <w:t xml:space="preserve">Step 1 — Bootstrap Registry Query</w:t>
      </w:r>
    </w:p>
    <w:p>
      <w:pPr>
        <w:spacing w:before="60" w:after="100"/>
      </w:pPr>
      <w:r>
        <w:rPr>
          <w:rFonts w:ascii="Arial" w:cs="Arial" w:eastAsia="Arial" w:hAnsi="Arial"/>
          <w:color w:val="1C1C1C"/>
          <w:sz w:val="22"/>
          <w:szCs w:val="22"/>
        </w:rPr>
        <w:t xml:space="preserve">Query bootstrap registry as described in Section 2.2. If a bootstrappable model is found within distance 0.20, register directly and skip Steps 2–4. If within 0.30, proceed to Step 4 (Phase 2 only). Otherwise proceed through all steps.</w:t>
      </w:r>
    </w:p>
    <w:p>
      <w:pPr>
        <w:pStyle w:val="Heading3"/>
        <w:spacing w:before="240" w:after="80"/>
      </w:pPr>
      <w:r>
        <w:rPr>
          <w:rFonts w:ascii="Arial" w:cs="Arial" w:eastAsia="Arial" w:hAnsi="Arial"/>
          <w:b/>
          <w:bCs/>
          <w:color w:val="1B3A5C"/>
          <w:sz w:val="24"/>
          <w:szCs w:val="24"/>
        </w:rPr>
        <w:t xml:space="preserve">Step 2 — Initialization Strategy</w:t>
      </w:r>
    </w:p>
    <w:p>
      <w:pPr>
        <w:spacing w:before="60" w:after="100"/>
      </w:pPr>
      <w:r>
        <w:rPr>
          <w:rFonts w:ascii="Arial" w:cs="Arial" w:eastAsia="Arial" w:hAnsi="Arial"/>
          <w:color w:val="1C1C1C"/>
          <w:sz w:val="22"/>
          <w:szCs w:val="22"/>
        </w:rPr>
        <w:t xml:space="preserve">Domain-adjacent transfer from existing expert within cosine distance 0.25. Otherwise model merging via TIES across experts within distance 0.40 — TIES is preferred over SLERP for multi-model merging because it resolves sign conflicts in merged weights more robustly. Otherwise general-purpose checkpoint initialization.</w:t>
      </w:r>
    </w:p>
    <w:p>
      <w:pPr>
        <w:pStyle w:val="Heading3"/>
        <w:spacing w:before="240" w:after="80"/>
      </w:pPr>
      <w:r>
        <w:rPr>
          <w:rFonts w:ascii="Arial" w:cs="Arial" w:eastAsia="Arial" w:hAnsi="Arial"/>
          <w:b/>
          <w:bCs/>
          <w:color w:val="1B3A5C"/>
          <w:sz w:val="24"/>
          <w:szCs w:val="24"/>
        </w:rPr>
        <w:t xml:space="preserve">Step 3 — Corpus Assembly</w:t>
      </w:r>
    </w:p>
    <w:p>
      <w:pPr>
        <w:spacing w:before="60" w:after="100"/>
      </w:pPr>
      <w:r>
        <w:rPr>
          <w:rFonts w:ascii="Arial" w:cs="Arial" w:eastAsia="Arial" w:hAnsi="Arial"/>
          <w:color w:val="1C1C1C"/>
          <w:sz w:val="22"/>
          <w:szCs w:val="22"/>
        </w:rPr>
        <w:t xml:space="preserve">Three-source priority: real documents from the data lake via MRL nearest-neighbor retrieval using adaptive radius expansion (stop when corpus semantic coherence drops below 0.65), curated external repositories, and synthetic data from a frontier model (max 30% of tokens). Consistency and coherence quality filtering. Structured knowledge base validation for medical, legal, and financial corpora.</w:t>
      </w:r>
    </w:p>
    <w:p>
      <w:pPr>
        <w:pStyle w:val="Heading3"/>
        <w:spacing w:before="240" w:after="80"/>
      </w:pPr>
      <w:r>
        <w:rPr>
          <w:rFonts w:ascii="Arial" w:cs="Arial" w:eastAsia="Arial" w:hAnsi="Arial"/>
          <w:b/>
          <w:bCs/>
          <w:color w:val="1B3A5C"/>
          <w:sz w:val="24"/>
          <w:szCs w:val="24"/>
        </w:rPr>
        <w:t xml:space="preserve">Step 4 — Two-Phase Training</w:t>
      </w:r>
    </w:p>
    <w:p>
      <w:pPr>
        <w:spacing w:before="60" w:after="100"/>
      </w:pPr>
      <w:r>
        <w:rPr>
          <w:rFonts w:ascii="Arial" w:cs="Arial" w:eastAsia="Arial" w:hAnsi="Arial"/>
          <w:color w:val="1C1C1C"/>
          <w:sz w:val="22"/>
          <w:szCs w:val="22"/>
        </w:rPr>
        <w:t xml:space="preserve">Phase 1 — broad domain coverage: causal LM objective, cosine LR schedule, EWC regularization with online Kronecker-factored Fisher (see Section 9.3). Phase 2 — uncertainty-aware refinement: target sub-regions of persistent uncertainty identified by TokUR evaluation; upsample from those sub-regions; train to uncertainty-below-threshold criterion.</w:t>
      </w:r>
    </w:p>
    <w:p>
      <w:pPr>
        <w:pStyle w:val="Heading3"/>
        <w:spacing w:before="240" w:after="80"/>
      </w:pPr>
      <w:r>
        <w:rPr>
          <w:rFonts w:ascii="Arial" w:cs="Arial" w:eastAsia="Arial" w:hAnsi="Arial"/>
          <w:b/>
          <w:bCs/>
          <w:color w:val="1B3A5C"/>
          <w:sz w:val="24"/>
          <w:szCs w:val="24"/>
        </w:rPr>
        <w:t xml:space="preserve">Step 5 — Validation and Registration</w:t>
      </w:r>
    </w:p>
    <w:p>
      <w:pPr>
        <w:spacing w:before="60" w:after="100"/>
      </w:pPr>
      <w:r>
        <w:rPr>
          <w:rFonts w:ascii="Arial" w:cs="Arial" w:eastAsia="Arial" w:hAnsi="Arial"/>
          <w:color w:val="1C1C1C"/>
          <w:sz w:val="22"/>
          <w:szCs w:val="22"/>
        </w:rPr>
        <w:t xml:space="preserve">Evaluate on canonical probe set and triggering queries. Verify uncertainty below creation threshold. Compute full 768-dimensional and 64-dimensional prefix MRL centroids. Register in FAISS. Queue initial BLoB adapter creation for the most common sub-domains within this expert's neighborhood. Notify synthesis model of new expert registration — triggers synthesis model LoRA fine-tune (Section 4.6).</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3.4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3.A — Catastrophic Forgetting Under Updates</w:t>
            </w:r>
          </w:p>
          <w:p>
            <w:pPr>
              <w:spacing w:before="60" w:after="100"/>
            </w:pPr>
            <w:r>
              <w:rPr>
                <w:rFonts w:ascii="Arial" w:cs="Arial" w:eastAsia="Arial" w:hAnsi="Arial"/>
                <w:color w:val="1C1C1C"/>
                <w:sz w:val="22"/>
                <w:szCs w:val="22"/>
              </w:rPr>
              <w:t xml:space="preserve">Base expert weight updates risk forgetting prior representations. Forgetting cascades to all BLoB adapters.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EWC with online Kronecker-factored Fisher. Experience replay buffer. Progressive layer unfreezing — unfreeze upper layers first, validate adapter compatibility, then unfreeze lower layers only if necessary.</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4.  BLoB Adapter Layer — Primary Uncertainty Mechanism</w:t>
      </w:r>
    </w:p>
    <w:p>
      <w:pPr>
        <w:pStyle w:val="Heading2"/>
        <w:spacing w:before="320" w:after="120"/>
      </w:pPr>
      <w:r>
        <w:rPr>
          <w:rFonts w:ascii="Arial" w:cs="Arial" w:eastAsia="Arial" w:hAnsi="Arial"/>
          <w:b/>
          <w:bCs/>
          <w:color w:val="2E86AB"/>
          <w:sz w:val="28"/>
          <w:szCs w:val="28"/>
        </w:rPr>
        <w:t xml:space="preserve">4.1  Why BLoB Remains the Primary Method</w:t>
      </w:r>
    </w:p>
    <w:p>
      <w:pPr>
        <w:spacing w:before="60" w:after="100"/>
      </w:pPr>
      <w:r>
        <w:rPr>
          <w:rFonts w:ascii="Arial" w:cs="Arial" w:eastAsia="Arial" w:hAnsi="Arial"/>
          <w:color w:val="1C1C1C"/>
          <w:sz w:val="22"/>
          <w:szCs w:val="22"/>
        </w:rPr>
        <w:t xml:space="preserve">The DEMoE architecture depends critically on accurate epistemic uncertainty estimation. Epistemic uncertainty — uncertainty arising from insufficient knowledge rather than irreducible noise — is the foundational signal that drives every expansion decision: when to create a new adapter, when to create a new base expert, which expert to activate, and when to flag a response as unreliable. Accuracy of this signal cannot be sacrificed for training convenience.</w:t>
      </w:r>
    </w:p>
    <w:p>
      <w:pPr>
        <w:spacing w:before="60" w:after="100"/>
      </w:pPr>
      <w:r>
        <w:rPr>
          <w:rFonts w:ascii="Arial" w:cs="Arial" w:eastAsia="Arial" w:hAnsi="Arial"/>
          <w:color w:val="1C1C1C"/>
          <w:sz w:val="22"/>
          <w:szCs w:val="22"/>
        </w:rPr>
        <w:t xml:space="preserve">Laplace-LoRA, which appeared in v3.0 as the primary method, is a local second-order approximation of the posterior centered at the MAP estimate. This introduces three failure modes that are specifically harmful for this architecture.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60" w:after="80"/>
            </w:pPr>
            <w:r>
              <w:rPr>
                <w:rFonts w:ascii="Arial" w:cs="Arial" w:eastAsia="Arial" w:hAnsi="Arial"/>
                <w:b/>
                <w:bCs/>
                <w:color w:val="C0392B"/>
                <w:sz w:val="22"/>
                <w:szCs w:val="22"/>
              </w:rPr>
              <w:t xml:space="preserve">Why Laplace Fails as the Primary Uncertainty Signal for DEMoE</w:t>
            </w:r>
          </w:p>
          <w:p>
            <w:pPr>
              <w:pStyle w:val="ListParagraph"/>
              <w:numPr>
                <w:ilvl w:val="0"/>
                <w:numId w:val="2"/>
              </w:numPr>
              <w:spacing w:before="40" w:after="40"/>
            </w:pPr>
            <w:r>
              <w:rPr>
                <w:rFonts w:ascii="Arial" w:cs="Arial" w:eastAsia="Arial" w:hAnsi="Arial"/>
                <w:b/>
                <w:bCs/>
                <w:color w:val="1B3A5C"/>
                <w:sz w:val="21"/>
                <w:szCs w:val="21"/>
              </w:rPr>
              <w:t xml:space="preserve">Multimodal posterior blindness: </w:t>
            </w:r>
            <w:r>
              <w:rPr>
                <w:rFonts w:ascii="Arial" w:cs="Arial" w:eastAsia="Arial" w:hAnsi="Arial"/>
                <w:color w:val="1C1C1C"/>
                <w:sz w:val="21"/>
                <w:szCs w:val="21"/>
              </w:rPr>
              <w:t xml:space="preserve">Laplace fits a single Gaussian to the posterior at the MAP point. If the adapter's training data forms multiple clusters — common in real sub-domains — the true posterior is multimodal. Laplace collapses this to one mode, systematically underestimating uncertainty in the inter-mode regions. Queries that fall between posterior modes may receive low stated uncertainty despite being genuinely uncertain.</w:t>
            </w:r>
          </w:p>
          <w:p>
            <w:pPr>
              <w:pStyle w:val="ListParagraph"/>
              <w:numPr>
                <w:ilvl w:val="0"/>
                <w:numId w:val="2"/>
              </w:numPr>
              <w:spacing w:before="40" w:after="40"/>
            </w:pPr>
            <w:r>
              <w:rPr>
                <w:rFonts w:ascii="Arial" w:cs="Arial" w:eastAsia="Arial" w:hAnsi="Arial"/>
                <w:b/>
                <w:bCs/>
                <w:color w:val="1B3A5C"/>
                <w:sz w:val="21"/>
                <w:szCs w:val="21"/>
              </w:rPr>
              <w:t xml:space="preserve">Linearization error at OOD inputs: </w:t>
            </w:r>
            <w:r>
              <w:rPr>
                <w:rFonts w:ascii="Arial" w:cs="Arial" w:eastAsia="Arial" w:hAnsi="Arial"/>
                <w:color w:val="1C1C1C"/>
                <w:sz w:val="21"/>
                <w:szCs w:val="21"/>
              </w:rPr>
              <w:t xml:space="preserve">The linearized Laplace predictive approximates the neural network as a linear function of its parameters around the MAP estimate. This linearization error grows with distance from the MAP — exactly at out-of-distribution inputs, which are the queries where accurate uncertainty is most critical for gap detection. BLoB's forward pass through stochastically sampled weights preserves the network's full nonlinearity.</w:t>
            </w:r>
          </w:p>
          <w:p>
            <w:pPr>
              <w:pStyle w:val="ListParagraph"/>
              <w:numPr>
                <w:ilvl w:val="0"/>
                <w:numId w:val="2"/>
              </w:numPr>
              <w:spacing w:before="40" w:after="40"/>
            </w:pPr>
            <w:r>
              <w:rPr>
                <w:rFonts w:ascii="Arial" w:cs="Arial" w:eastAsia="Arial" w:hAnsi="Arial"/>
                <w:b/>
                <w:bCs/>
                <w:color w:val="1B3A5C"/>
                <w:sz w:val="21"/>
                <w:szCs w:val="21"/>
              </w:rPr>
              <w:t xml:space="preserve">MAP solution has no posterior awareness: </w:t>
            </w:r>
            <w:r>
              <w:rPr>
                <w:rFonts w:ascii="Arial" w:cs="Arial" w:eastAsia="Arial" w:hAnsi="Arial"/>
                <w:color w:val="1C1C1C"/>
                <w:sz w:val="21"/>
                <w:szCs w:val="21"/>
              </w:rPr>
              <w:t xml:space="preserve">The MAP was found by pure discriminative optimization with no consideration of posterior shape. The resulting MAP point may not lie in the highest-density region of the true posterior, making the center of the Laplace approximation itself a poor representation of typical model behavior.</w:t>
            </w:r>
          </w:p>
        </w:tc>
      </w:tr>
    </w:tbl>
    <w:p>
      <w:pPr>
        <w:spacing w:before="0" w:after="60"/>
      </w:pPr>
      <w:r>
        <w:t xml:space="preserve"/>
      </w:r>
    </w:p>
    <w:p>
      <w:pPr>
        <w:spacing w:before="60" w:after="100"/>
      </w:pPr>
      <w:r>
        <w:rPr>
          <w:rFonts w:ascii="Arial" w:cs="Arial" w:eastAsia="Arial" w:hAnsi="Arial"/>
          <w:color w:val="1C1C1C"/>
          <w:sz w:val="22"/>
          <w:szCs w:val="22"/>
        </w:rPr>
        <w:t xml:space="preserve">BLoB (Bayesian LoRA by Backprop) trains weight distributions end-to-end using variational inference. Mean and variance parameters are jointly optimized, so the solution reflects the posterior's geometry from the start. Sampling through the full nonlinear network preserves the network's expressive uncertainty representation. Posterior variance naturally increases for OOD inputs because the weights are less constrained in regions not seen during training. These properties are necessary for reliable gap detection and cannot be approximated adequately by a post-hoc local method.</w:t>
      </w:r>
    </w:p>
    <w:p>
      <w:pPr>
        <w:spacing w:before="60" w:after="100"/>
      </w:pPr>
      <w:r>
        <w:rPr>
          <w:rFonts w:ascii="Arial" w:cs="Arial" w:eastAsia="Arial" w:hAnsi="Arial"/>
          <w:color w:val="1C1C1C"/>
          <w:sz w:val="22"/>
          <w:szCs w:val="22"/>
        </w:rPr>
        <w:t xml:space="preserve">The training instability concerns that motivated the v3.0 switch to Laplace-LoRA are real, but they are addressed by three concrete training improvements rather than by abandoning the method.</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4.2  Robust BLoB Training — Three Improvements</w:t>
      </w:r>
    </w:p>
    <w:p>
      <w:pPr>
        <w:pStyle w:val="Heading3"/>
        <w:spacing w:before="240" w:after="80"/>
      </w:pPr>
      <w:r>
        <w:rPr>
          <w:rFonts w:ascii="Arial" w:cs="Arial" w:eastAsia="Arial" w:hAnsi="Arial"/>
          <w:b/>
          <w:bCs/>
          <w:color w:val="1B3A5C"/>
          <w:sz w:val="24"/>
          <w:szCs w:val="24"/>
        </w:rPr>
        <w:t xml:space="preserve">Improvement 1: MAP-Initialized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MAP Initialization Procedure</w:t>
            </w:r>
          </w:p>
          <w:p>
            <w:pPr>
              <w:spacing w:before="60" w:after="100"/>
            </w:pPr>
            <w:r>
              <w:rPr>
                <w:rFonts w:ascii="Arial" w:cs="Arial" w:eastAsia="Arial" w:hAnsi="Arial"/>
                <w:color w:val="1C1C1C"/>
                <w:sz w:val="22"/>
                <w:szCs w:val="22"/>
              </w:rPr>
              <w:t xml:space="preserve">The root cause of BLoB training instability is that the ELBO reconstruction term begins poorly — before the mean parameters have found a reasonable solution, the KL term can dominate and collapse the posterior. MAP initialization eliminates this by ensuring the reconstruction term is already well-behaved when BLoB training begins.</w:t>
            </w:r>
          </w:p>
          <w:p>
            <w:pPr>
              <w:spacing w:before="0" w:after="40"/>
            </w:pPr>
            <w:r>
              <w:t xml:space="preserve"/>
            </w:r>
          </w:p>
          <w:p>
            <w:pPr>
              <w:pStyle w:val="ListParagraph"/>
              <w:numPr>
                <w:ilvl w:val="0"/>
                <w:numId w:val="3"/>
              </w:numPr>
              <w:spacing w:before="40" w:after="40"/>
            </w:pPr>
            <w:r>
              <w:rPr>
                <w:rFonts w:ascii="Arial" w:cs="Arial" w:eastAsia="Arial" w:hAnsi="Arial"/>
                <w:color w:val="1C1C1C"/>
                <w:sz w:val="21"/>
                <w:szCs w:val="21"/>
              </w:rPr>
              <w:t xml:space="preserve">Train a standard LoRA adapter on the sub-domain corpus using normal cross-entropy to convergence. This is fast and always stable. The resulting weights are the MAP solution.</w:t>
            </w:r>
          </w:p>
          <w:p>
            <w:pPr>
              <w:pStyle w:val="ListParagraph"/>
              <w:numPr>
                <w:ilvl w:val="0"/>
                <w:numId w:val="3"/>
              </w:numPr>
              <w:spacing w:before="40" w:after="40"/>
            </w:pPr>
            <w:r>
              <w:rPr>
                <w:rFonts w:ascii="Arial" w:cs="Arial" w:eastAsia="Arial" w:hAnsi="Arial"/>
                <w:color w:val="1C1C1C"/>
                <w:sz w:val="21"/>
                <w:szCs w:val="21"/>
              </w:rPr>
              <w:t xml:space="preserve">Initialize BLoB's mean parameters μ from the MAP weights. Initialize variance parameters σ² at a small fixed value ε (recommended: ε = 0.01 × mean(μ²), a fraction of the mean weight magnitude).</w:t>
            </w:r>
          </w:p>
          <w:p>
            <w:pPr>
              <w:pStyle w:val="ListParagraph"/>
              <w:numPr>
                <w:ilvl w:val="0"/>
                <w:numId w:val="3"/>
              </w:numPr>
              <w:spacing w:before="40" w:after="40"/>
            </w:pPr>
            <w:r>
              <w:rPr>
                <w:rFonts w:ascii="Arial" w:cs="Arial" w:eastAsia="Arial" w:hAnsi="Arial"/>
                <w:color w:val="1C1C1C"/>
                <w:sz w:val="21"/>
                <w:szCs w:val="21"/>
              </w:rPr>
              <w:t xml:space="preserve">Run BLoB fine-tuning from this warm start using the ELBO objective. Because the mean parameters start at a good solution, the reconstruction term L_rec is immediately low, allowing the KL term to grow stably from the first step.</w:t>
            </w:r>
          </w:p>
          <w:p>
            <w:pPr>
              <w:spacing w:before="0" w:after="40"/>
            </w:pPr>
            <w:r>
              <w:t xml:space="preserve"/>
            </w:r>
          </w:p>
          <w:p>
            <w:pPr>
              <w:spacing w:before="60" w:after="100"/>
            </w:pPr>
            <w:r>
              <w:rPr>
                <w:rFonts w:ascii="Arial" w:cs="Arial" w:eastAsia="Arial" w:hAnsi="Arial"/>
                <w:color w:val="1C1C1C"/>
                <w:sz w:val="22"/>
                <w:szCs w:val="22"/>
              </w:rPr>
              <w:t xml:space="preserve">This two-stage procedure adds only the cost of a standard LoRA training run before BLoB training — approximately 30-50% additional compute over single-stage BLoB, but with dramatically improved stability and near-elimination of posterior collapse risk.</w:t>
            </w:r>
          </w:p>
        </w:tc>
      </w:tr>
    </w:tbl>
    <w:p>
      <w:pPr>
        <w:spacing w:before="0" w:after="60"/>
      </w:pPr>
      <w:r>
        <w:t xml:space="preserve"/>
      </w:r>
    </w:p>
    <w:p>
      <w:pPr>
        <w:pStyle w:val="Heading3"/>
        <w:spacing w:before="240" w:after="80"/>
      </w:pPr>
      <w:r>
        <w:rPr>
          <w:rFonts w:ascii="Arial" w:cs="Arial" w:eastAsia="Arial" w:hAnsi="Arial"/>
          <w:b/>
          <w:bCs/>
          <w:color w:val="1B3A5C"/>
          <w:sz w:val="24"/>
          <w:szCs w:val="24"/>
        </w:rPr>
        <w:t xml:space="preserve">Improvement 2: Cyclical KL Annealing</w:t>
      </w:r>
    </w:p>
    <w:p>
      <w:pPr>
        <w:spacing w:before="60" w:after="100"/>
      </w:pPr>
      <w:r>
        <w:rPr>
          <w:rFonts w:ascii="Arial" w:cs="Arial" w:eastAsia="Arial" w:hAnsi="Arial"/>
          <w:color w:val="1C1C1C"/>
          <w:sz w:val="22"/>
          <w:szCs w:val="22"/>
        </w:rPr>
        <w:t xml:space="preserve">Monotonic KL annealing — ramping KL weight from 0 to 1 once and keeping it there — risks locking the posterior into a narrow local minimum early in training. Cyclical KL annealing periodically resets the KL weight, allowing the posterior to escape local minima and explore the variational landscape more thoroughly.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Cyclical KL Schedule</w:t>
            </w:r>
          </w:p>
          <w:p>
            <w:pPr>
              <w:spacing w:before="60" w:after="100"/>
            </w:pPr>
            <w:r>
              <w:rPr>
                <w:rFonts w:ascii="Arial" w:cs="Arial" w:eastAsia="Arial" w:hAnsi="Arial"/>
                <w:color w:val="1C1C1C"/>
                <w:sz w:val="22"/>
                <w:szCs w:val="22"/>
              </w:rPr>
              <w:t xml:space="preserve">Divide training into cycles of T_cycle steps. Within each cycle: anneal KL weight β from 0 to 1 over the first half of the cycle (T_cycle / 2 steps), then hold β = 1 for the second half. At the start of the next cycle, reset β to 0 and repeat. Recommended: T_cycle = 20% of total training steps; total cycles = 5.</w:t>
            </w:r>
          </w:p>
          <w:p>
            <w:pPr>
              <w:spacing w:before="60" w:after="100"/>
            </w:pPr>
            <w:r>
              <w:rPr>
                <w:rFonts w:ascii="Arial" w:cs="Arial" w:eastAsia="Arial" w:hAnsi="Arial"/>
                <w:color w:val="1C1C1C"/>
                <w:sz w:val="22"/>
                <w:szCs w:val="22"/>
              </w:rPr>
              <w:t xml:space="preserve">Effect: the first half of each cycle (β ≈ 0) allows the reconstruction term to dominate, updating the mean parameters. The second half (β = 1) regularizes the posterior toward the prior, preventing variance collapse. Resetting at cycle boundaries allows the variance parameters to recover if they have collapsed during the regularization phase. Empirically, cyclical annealing outperforms monotonic annealing on posterior calibration across multiple architectures.</w:t>
            </w:r>
          </w:p>
        </w:tc>
      </w:tr>
    </w:tbl>
    <w:p>
      <w:pPr>
        <w:spacing w:before="0" w:after="60"/>
      </w:pPr>
      <w:r>
        <w:t xml:space="preserve"/>
      </w:r>
    </w:p>
    <w:p>
      <w:pPr>
        <w:pStyle w:val="Heading3"/>
        <w:spacing w:before="240" w:after="80"/>
      </w:pPr>
      <w:r>
        <w:rPr>
          <w:rFonts w:ascii="Arial" w:cs="Arial" w:eastAsia="Arial" w:hAnsi="Arial"/>
          <w:b/>
          <w:bCs/>
          <w:color w:val="1B3A5C"/>
          <w:sz w:val="24"/>
          <w:szCs w:val="24"/>
        </w:rPr>
        <w:t xml:space="preserve">Improvement 3: Structured Variational Approximation with Free-Bits</w:t>
      </w:r>
    </w:p>
    <w:p>
      <w:pPr>
        <w:spacing w:before="60" w:after="100"/>
      </w:pPr>
      <w:r>
        <w:rPr>
          <w:rFonts w:ascii="Arial" w:cs="Arial" w:eastAsia="Arial" w:hAnsi="Arial"/>
          <w:color w:val="1C1C1C"/>
          <w:sz w:val="22"/>
          <w:szCs w:val="22"/>
        </w:rPr>
        <w:t xml:space="preserve">Standard mean-field BLoB assumes full independence between all weight parameters — the posterior is a fully diagonal Gaussian. This misses correlations between parameters that can be important for accurate uncertainty propagation. A structured approximation adds a low-rank correction to the diagonal:</w:t>
      </w:r>
    </w:p>
    <w:p>
      <w:pPr>
        <w:spacing w:before="80" w:after="80"/>
        <w:jc w:val="center"/>
      </w:pPr>
      <w:r>
        <w:rPr>
          <w:rFonts w:ascii="Courier New" w:cs="Courier New" w:eastAsia="Courier New" w:hAnsi="Courier New"/>
          <w:b/>
          <w:bCs/>
          <w:color w:val="1B3A5C"/>
          <w:sz w:val="22"/>
          <w:szCs w:val="22"/>
        </w:rPr>
        <w:t xml:space="preserve">q(θ)  =  N( μ,  diag(σ²) + V V^T )</w:t>
      </w:r>
    </w:p>
    <w:p>
      <w:pPr>
        <w:spacing w:before="60" w:after="100"/>
      </w:pPr>
      <w:r>
        <w:rPr>
          <w:rFonts w:ascii="Arial" w:cs="Arial" w:eastAsia="Arial" w:hAnsi="Arial"/>
          <w:color w:val="1C1C1C"/>
          <w:sz w:val="22"/>
          <w:szCs w:val="22"/>
        </w:rPr>
        <w:t xml:space="preserve">where V ∈ R^(P × k) captures the k dominant correlation directions in the posterior (k = 5 to 10). This adds minimal compute — updating V requires only k additional gradient directions — but captures the most important cross-parameter dependencies that diagonal BLoB misses.</w:t>
      </w:r>
    </w:p>
    <w:p>
      <w:pPr>
        <w:spacing w:before="60" w:after="100"/>
      </w:pPr>
      <w:r>
        <w:rPr>
          <w:rFonts w:ascii="Arial" w:cs="Arial" w:eastAsia="Arial" w:hAnsi="Arial"/>
          <w:color w:val="1C1C1C"/>
          <w:sz w:val="22"/>
          <w:szCs w:val="22"/>
        </w:rPr>
        <w:t xml:space="preserve">Free-bits regularization prevents posterior collapse by setting a minimum KL contribution per parameter: if KL(q(θ_i) || p(θ_i)) &lt; λ_free (recommended: λ_free = 0.1 nats), the KL penalty is not applied to parameter i. This ensures the posterior retains meaningful variance even under strong regularization pressure.</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4.3  Laplace-LoRA: Restricted to Bootstrapped External Adapters</w:t>
      </w:r>
    </w:p>
    <w:p>
      <w:pPr>
        <w:spacing w:before="60" w:after="100"/>
      </w:pPr>
      <w:r>
        <w:rPr>
          <w:rFonts w:ascii="Arial" w:cs="Arial" w:eastAsia="Arial" w:hAnsi="Arial"/>
          <w:color w:val="1C1C1C"/>
          <w:sz w:val="22"/>
          <w:szCs w:val="22"/>
        </w:rPr>
        <w:t xml:space="preserve">Laplace-LoRA is retained in v4.0 in a narrow, well-defined role: applying uncertainty estimation to LoRA adapters bootstrapped from external sources where the original training data is unavailable, making BLoB retraining impossible. The procedure is unchanged from v3.0: train a standard LoRA normally, then apply post-hoc Kronecker-factored Laplace approximation.</w:t>
      </w:r>
    </w:p>
    <w:p>
      <w:pPr>
        <w:spacing w:before="60" w:after="100"/>
      </w:pPr>
      <w:r>
        <w:rPr>
          <w:rFonts w:ascii="Arial" w:cs="Arial" w:eastAsia="Arial" w:hAnsi="Arial"/>
          <w:color w:val="1C1C1C"/>
          <w:sz w:val="22"/>
          <w:szCs w:val="22"/>
        </w:rPr>
        <w:t xml:space="preserve">Laplace-LoRA uncertainty estimates from bootstrapped adapters are treated with wider confidence intervals than BLoB estimates in the routing and threshold logic. Specifically: the effective uncertainty score for a bootstrapped adapter is inflated by a calibration factor c_bootstrap &gt; 1 (recommended: c_bootstrap = 1.25) before percentile normalization. This reflects the lower fidelity of the post-hoc approximation and makes the system appropriately more conservative about trusting bootstrapped adapter uncertainty estimates.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4.4  Two-NN Rank Determination</w:t>
      </w:r>
    </w:p>
    <w:p>
      <w:pPr>
        <w:spacing w:before="60" w:after="100"/>
      </w:pPr>
      <w:r>
        <w:rPr>
          <w:rFonts w:ascii="Arial" w:cs="Arial" w:eastAsia="Arial" w:hAnsi="Arial"/>
          <w:color w:val="1C1C1C"/>
          <w:sz w:val="22"/>
          <w:szCs w:val="22"/>
        </w:rPr>
        <w:t xml:space="preserve">The LoRA rank for each adapter is determined by the intrinsic dimensionality of its training corpus in embedding space, estimated using the Two-NN estimator (Facco et al., 2017). This method correctly handles nonlinear manifold structure in embedding spaces, unlike PCA which assumes linearity and systematically overestimates dimensionality.</w:t>
      </w:r>
    </w:p>
    <w:p>
      <w:pPr>
        <w:spacing w:before="80" w:after="80"/>
        <w:jc w:val="center"/>
      </w:pPr>
      <w:r>
        <w:rPr>
          <w:rFonts w:ascii="Courier New" w:cs="Courier New" w:eastAsia="Courier New" w:hAnsi="Courier New"/>
          <w:b/>
          <w:bCs/>
          <w:color w:val="1B3A5C"/>
          <w:sz w:val="22"/>
          <w:szCs w:val="22"/>
        </w:rPr>
        <w:t xml:space="preserve">d̂  =  −N  /  Σᵢ log( d₂_i / d₁_i )</w:t>
      </w:r>
    </w:p>
    <w:p>
      <w:pPr>
        <w:spacing w:before="80" w:after="80"/>
        <w:jc w:val="center"/>
      </w:pPr>
      <w:r>
        <w:rPr>
          <w:rFonts w:ascii="Courier New" w:cs="Courier New" w:eastAsia="Courier New" w:hAnsi="Courier New"/>
          <w:b/>
          <w:bCs/>
          <w:color w:val="1B3A5C"/>
          <w:sz w:val="22"/>
          <w:szCs w:val="22"/>
        </w:rPr>
        <w:t xml:space="preserve">r  =  max(4,  min(64,  round(d̂ × 0.5)))</w:t>
      </w:r>
    </w:p>
    <w:p>
      <w:pPr>
        <w:spacing w:before="60" w:after="100"/>
      </w:pPr>
      <w:r>
        <w:rPr>
          <w:rFonts w:ascii="Arial" w:cs="Arial" w:eastAsia="Arial" w:hAnsi="Arial"/>
          <w:color w:val="1C1C1C"/>
          <w:sz w:val="22"/>
          <w:szCs w:val="22"/>
        </w:rPr>
        <w:t xml:space="preserve">where d₁_i and d₂_i are the distances from point i to its first and second nearest neighbors in the corpus embedding, computed via FAISS. Bootstrap robustification for N &lt; 500: draw 10 random subsets of 0.8·N and use the median estimate. Default rank r = 8 for corpora below N = 200 with re-evaluation scheduled as the corpus grows.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4.5  Creation Steps</w:t>
      </w:r>
    </w:p>
    <w:p>
      <w:pPr>
        <w:pStyle w:val="Heading3"/>
        <w:spacing w:before="240" w:after="80"/>
      </w:pPr>
      <w:r>
        <w:rPr>
          <w:rFonts w:ascii="Arial" w:cs="Arial" w:eastAsia="Arial" w:hAnsi="Arial"/>
          <w:b/>
          <w:bCs/>
          <w:color w:val="1B3A5C"/>
          <w:sz w:val="24"/>
          <w:szCs w:val="24"/>
        </w:rPr>
        <w:t xml:space="preserve">Step 1 — Sub-Domain Gap Detection</w:t>
      </w:r>
    </w:p>
    <w:p>
      <w:pPr>
        <w:spacing w:before="60" w:after="100"/>
      </w:pPr>
      <w:r>
        <w:rPr>
          <w:rFonts w:ascii="Arial" w:cs="Arial" w:eastAsia="Arial" w:hAnsi="Arial"/>
          <w:color w:val="1C1C1C"/>
          <w:sz w:val="22"/>
          <w:szCs w:val="22"/>
        </w:rPr>
        <w:t xml:space="preserve">BLoB adapter creation is triggered when the base expert has been routed to (query falls within its embedding neighborhood) but BLoB uncertainty on the query exceeds the adapter creation threshold θ_adapter(domain). This means the base expert has the right broad domain but lacks specific sub-domain knowledge.</w:t>
      </w:r>
    </w:p>
    <w:p>
      <w:pPr>
        <w:pStyle w:val="Heading3"/>
        <w:spacing w:before="240" w:after="80"/>
      </w:pPr>
      <w:r>
        <w:rPr>
          <w:rFonts w:ascii="Arial" w:cs="Arial" w:eastAsia="Arial" w:hAnsi="Arial"/>
          <w:b/>
          <w:bCs/>
          <w:color w:val="1B3A5C"/>
          <w:sz w:val="24"/>
          <w:szCs w:val="24"/>
        </w:rPr>
        <w:t xml:space="preserve">Step 2 — Targeted Corpus Assembly</w:t>
      </w:r>
    </w:p>
    <w:p>
      <w:pPr>
        <w:spacing w:before="60" w:after="100"/>
      </w:pPr>
      <w:r>
        <w:rPr>
          <w:rFonts w:ascii="Arial" w:cs="Arial" w:eastAsia="Arial" w:hAnsi="Arial"/>
          <w:color w:val="1C1C1C"/>
          <w:sz w:val="22"/>
          <w:szCs w:val="22"/>
        </w:rPr>
        <w:t xml:space="preserve">Sub-domain corpus assembled at finer granularity than base model corpus: 500–5,000 documents typical. Three-source priority order with consistency and coherence filtering. Adaptive radius expansion using corpus semantic coherence as stopping criterion.</w:t>
      </w:r>
    </w:p>
    <w:p>
      <w:pPr>
        <w:pStyle w:val="Heading3"/>
        <w:spacing w:before="240" w:after="80"/>
      </w:pPr>
      <w:r>
        <w:rPr>
          <w:rFonts w:ascii="Arial" w:cs="Arial" w:eastAsia="Arial" w:hAnsi="Arial"/>
          <w:b/>
          <w:bCs/>
          <w:color w:val="1B3A5C"/>
          <w:sz w:val="24"/>
          <w:szCs w:val="24"/>
        </w:rPr>
        <w:t xml:space="preserve">Step 3 — Two-NN Rank Determination</w:t>
      </w:r>
    </w:p>
    <w:p>
      <w:pPr>
        <w:spacing w:before="60" w:after="100"/>
      </w:pPr>
      <w:r>
        <w:rPr>
          <w:rFonts w:ascii="Arial" w:cs="Arial" w:eastAsia="Arial" w:hAnsi="Arial"/>
          <w:color w:val="1C1C1C"/>
          <w:sz w:val="22"/>
          <w:szCs w:val="22"/>
        </w:rPr>
        <w:t xml:space="preserve">Run Two-NN procedure on assembled corpus embeddings to obtain rank r. This step precedes training.</w:t>
      </w:r>
    </w:p>
    <w:p>
      <w:pPr>
        <w:pStyle w:val="Heading3"/>
        <w:spacing w:before="240" w:after="80"/>
      </w:pPr>
      <w:r>
        <w:rPr>
          <w:rFonts w:ascii="Arial" w:cs="Arial" w:eastAsia="Arial" w:hAnsi="Arial"/>
          <w:b/>
          <w:bCs/>
          <w:color w:val="1B3A5C"/>
          <w:sz w:val="24"/>
          <w:szCs w:val="24"/>
        </w:rPr>
        <w:t xml:space="preserve">Step 4 — MAP-Initialized BLoB Training</w:t>
      </w:r>
    </w:p>
    <w:p>
      <w:pPr>
        <w:spacing w:before="60" w:after="100"/>
      </w:pPr>
      <w:r>
        <w:rPr>
          <w:rFonts w:ascii="Arial" w:cs="Arial" w:eastAsia="Arial" w:hAnsi="Arial"/>
          <w:color w:val="1C1C1C"/>
          <w:sz w:val="22"/>
          <w:szCs w:val="22"/>
        </w:rPr>
        <w:t xml:space="preserve">Stage 1: standard LoRA training at rank r to convergence. Stage 2: initialize BLoB mean parameters from MAP weights, variance parameters at ε = 0.01 × mean(μ²). Train with ELBO objective using cyclical KL annealing and structured variational approximation with free-bits. Stop when validation uncertainty drops below adapter creation threshold and is stable over 3 consecutive evaluation checkpoints.</w:t>
      </w:r>
    </w:p>
    <w:p>
      <w:pPr>
        <w:pStyle w:val="Heading3"/>
        <w:spacing w:before="240" w:after="80"/>
      </w:pPr>
      <w:r>
        <w:rPr>
          <w:rFonts w:ascii="Arial" w:cs="Arial" w:eastAsia="Arial" w:hAnsi="Arial"/>
          <w:b/>
          <w:bCs/>
          <w:color w:val="1B3A5C"/>
          <w:sz w:val="24"/>
          <w:szCs w:val="24"/>
        </w:rPr>
        <w:t xml:space="preserve">Step 5 — Singular Vector Fingerprinting</w:t>
      </w:r>
    </w:p>
    <w:p>
      <w:pPr>
        <w:spacing w:before="60" w:after="100"/>
      </w:pPr>
      <w:r>
        <w:rPr>
          <w:rFonts w:ascii="Arial" w:cs="Arial" w:eastAsia="Arial" w:hAnsi="Arial"/>
          <w:color w:val="1C1C1C"/>
          <w:sz w:val="22"/>
          <w:szCs w:val="22"/>
        </w:rPr>
        <w:t xml:space="preserve">Compute top-k singular vectors (k=16) of the product AB^T for each adapted layer via SVD. Store training data centroid and singular vector fingerprint in the sub-domain index under the parent base expert partition.</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4.6  Singular Vector Fingerprint — Two Concrete Uses</w:t>
      </w:r>
    </w:p>
    <w:p>
      <w:pPr>
        <w:pStyle w:val="Heading3"/>
        <w:spacing w:before="240" w:after="80"/>
      </w:pPr>
      <w:r>
        <w:rPr>
          <w:rFonts w:ascii="Arial" w:cs="Arial" w:eastAsia="Arial" w:hAnsi="Arial"/>
          <w:b/>
          <w:bCs/>
          <w:color w:val="1B3A5C"/>
          <w:sz w:val="24"/>
          <w:szCs w:val="24"/>
        </w:rPr>
        <w:t xml:space="preserve">Use 1: Fine-Grained Adapter Relevance Scoring</w:t>
      </w:r>
    </w:p>
    <w:p>
      <w:pPr>
        <w:spacing w:before="60" w:after="100"/>
      </w:pPr>
      <w:r>
        <w:rPr>
          <w:rFonts w:ascii="Arial" w:cs="Arial" w:eastAsia="Arial" w:hAnsi="Arial"/>
          <w:color w:val="1C1C1C"/>
          <w:sz w:val="22"/>
          <w:szCs w:val="22"/>
        </w:rPr>
        <w:t xml:space="preserve">During routing, adapters are ranked by a combined score combining centroid proximity and singular vector relevance:</w:t>
      </w:r>
    </w:p>
    <w:p>
      <w:pPr>
        <w:spacing w:before="80" w:after="80"/>
        <w:jc w:val="center"/>
      </w:pPr>
      <w:r>
        <w:rPr>
          <w:rFonts w:ascii="Courier New" w:cs="Courier New" w:eastAsia="Courier New" w:hAnsi="Courier New"/>
          <w:b/>
          <w:bCs/>
          <w:color w:val="1B3A5C"/>
          <w:sz w:val="22"/>
          <w:szCs w:val="22"/>
        </w:rPr>
        <w:t xml:space="preserve">R_i  =  ‖ U_i^T · q ‖  /  ‖ q ‖</w:t>
      </w:r>
    </w:p>
    <w:p>
      <w:pPr>
        <w:spacing w:before="80" w:after="80"/>
        <w:jc w:val="center"/>
      </w:pPr>
      <w:r>
        <w:rPr>
          <w:rFonts w:ascii="Courier New" w:cs="Courier New" w:eastAsia="Courier New" w:hAnsi="Courier New"/>
          <w:b/>
          <w:bCs/>
          <w:color w:val="1B3A5C"/>
          <w:sz w:val="22"/>
          <w:szCs w:val="22"/>
        </w:rPr>
        <w:t xml:space="preserve">S_i  =  α · (1 − d_centroid_i)  +  (1 − α) · R_i</w:t>
      </w:r>
    </w:p>
    <w:p>
      <w:pPr>
        <w:spacing w:before="60" w:after="100"/>
      </w:pPr>
      <w:r>
        <w:rPr>
          <w:rFonts w:ascii="Arial" w:cs="Arial" w:eastAsia="Arial" w:hAnsi="Arial"/>
          <w:color w:val="1C1C1C"/>
          <w:sz w:val="22"/>
          <w:szCs w:val="22"/>
        </w:rPr>
        <w:t xml:space="preserve">where U_i are the top-k left singular vectors of adapter i's AB^T product, q is the query embedding, and α = 0.6. This distinguishes adapters with similar centroid proximity but different learned specializations.</w:t>
      </w:r>
    </w:p>
    <w:p>
      <w:pPr>
        <w:pStyle w:val="Heading3"/>
        <w:spacing w:before="240" w:after="80"/>
      </w:pPr>
      <w:r>
        <w:rPr>
          <w:rFonts w:ascii="Arial" w:cs="Arial" w:eastAsia="Arial" w:hAnsi="Arial"/>
          <w:b/>
          <w:bCs/>
          <w:color w:val="1B3A5C"/>
          <w:sz w:val="24"/>
          <w:szCs w:val="24"/>
        </w:rPr>
        <w:t xml:space="preserve">Use 2: Compatibility Pre-Screening After Base Model Updates</w:t>
      </w:r>
    </w:p>
    <w:p>
      <w:pPr>
        <w:spacing w:before="60" w:after="100"/>
      </w:pPr>
      <w:r>
        <w:rPr>
          <w:rFonts w:ascii="Arial" w:cs="Arial" w:eastAsia="Arial" w:hAnsi="Arial"/>
          <w:color w:val="1C1C1C"/>
          <w:sz w:val="22"/>
          <w:szCs w:val="22"/>
        </w:rPr>
        <w:t xml:space="preserve">After a base model update, compare angular rotation of the base model's representation geometry:</w:t>
      </w:r>
    </w:p>
    <w:p>
      <w:pPr>
        <w:spacing w:before="80" w:after="80"/>
        <w:jc w:val="center"/>
      </w:pPr>
      <w:r>
        <w:rPr>
          <w:rFonts w:ascii="Courier New" w:cs="Courier New" w:eastAsia="Courier New" w:hAnsi="Courier New"/>
          <w:b/>
          <w:bCs/>
          <w:color w:val="1B3A5C"/>
          <w:sz w:val="22"/>
          <w:szCs w:val="22"/>
        </w:rPr>
        <w:t xml:space="preserve">θ  =  arccos( ‖ V_pre^T · V_post ‖_F  /  k )</w:t>
      </w:r>
    </w:p>
    <w:p>
      <w:pPr>
        <w:spacing w:before="60" w:after="100"/>
      </w:pPr>
      <w:r>
        <w:rPr>
          <w:rFonts w:ascii="Arial" w:cs="Arial" w:eastAsia="Arial" w:hAnsi="Arial"/>
          <w:color w:val="1C1C1C"/>
          <w:sz w:val="22"/>
          <w:szCs w:val="22"/>
        </w:rPr>
        <w:t xml:space="preserve">Adapters whose parent layer has rotated beyond 15 degrees are flagged for full compatibility testing. Others are cleared without full testing, implementing the Tier-3 pre-screening in the tiered compatibility protocol.</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4.7  Inference Uncertainty Estimation</w:t>
      </w:r>
    </w:p>
    <w:p>
      <w:pPr>
        <w:spacing w:before="60" w:after="100"/>
      </w:pPr>
      <w:r>
        <w:rPr>
          <w:rFonts w:ascii="Arial" w:cs="Arial" w:eastAsia="Arial" w:hAnsi="Arial"/>
          <w:color w:val="1C1C1C"/>
          <w:sz w:val="22"/>
          <w:szCs w:val="22"/>
        </w:rPr>
        <w:t xml:space="preserve">At inference, BLoB operates in mean mode for production speed: a single forward pass through the mean weight parameters provides the response. Uncertainty is estimated via the closed-form law of total variance applied to the posterior weight distributions — this requires no additional forward passes and provides a calibrated uncertainty scalar per query.</w:t>
      </w:r>
    </w:p>
    <w:p>
      <w:pPr>
        <w:spacing w:before="60" w:after="100"/>
      </w:pPr>
      <w:r>
        <w:rPr>
          <w:rFonts w:ascii="Arial" w:cs="Arial" w:eastAsia="Arial" w:hAnsi="Arial"/>
          <w:color w:val="1C1C1C"/>
          <w:sz w:val="22"/>
          <w:szCs w:val="22"/>
        </w:rPr>
        <w:t xml:space="preserve">For queries where the fast uncertainty estimate is ambiguous (score between 0.3 and 0.7), a full sampling pass (5–10 weight samples) is run to refine the estimate. Sampling mode is also used during adapter creation validation and health monitoring. All uncertainty estimates are percentile-normalized within each expert's calibration distribution before comparison across experts.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4.8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4.A — BLoB Still Slower Than Laplace to Train</w:t>
            </w:r>
          </w:p>
          <w:p>
            <w:pPr>
              <w:spacing w:before="60" w:after="100"/>
            </w:pPr>
            <w:r>
              <w:rPr>
                <w:rFonts w:ascii="Arial" w:cs="Arial" w:eastAsia="Arial" w:hAnsi="Arial"/>
                <w:color w:val="1C1C1C"/>
                <w:sz w:val="22"/>
                <w:szCs w:val="22"/>
              </w:rPr>
              <w:t xml:space="preserve">Even with MAP initialization, BLoB requires two training stages. For very tight adapter creation latency requirements, this adds overhead.</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The MAP training stage is identical to standard LoRA training and is never wasted: it produces a functional deterministic adapter that can be deployed immediately while BLoB fine-tuning runs asynchronously. The system registers the MAP adapter as a temporary uncertainty-unaware adapter and replaces it with the BLoB-trained version once fine-tuning completes. The routing threshold for the temporary adapter is inflated by c_temp = 1.4, making the system appropriately conservative until BLoB fine-tuning is complete.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4.B — Structured VI Memory Overhead</w:t>
            </w:r>
          </w:p>
          <w:p>
            <w:pPr>
              <w:spacing w:before="60" w:after="100"/>
            </w:pPr>
            <w:r>
              <w:rPr>
                <w:rFonts w:ascii="Arial" w:cs="Arial" w:eastAsia="Arial" w:hAnsi="Arial"/>
                <w:color w:val="1C1C1C"/>
                <w:sz w:val="22"/>
                <w:szCs w:val="22"/>
              </w:rPr>
              <w:t xml:space="preserve">The low-rank correction V ∈ R^(P×k) adds k additional gradient directions per parameter. For a 7B base model with rank-32 LoRA applied to Q/V/K/O across 32 layers and k=10 correlation directions, this adds approximately 10% parameter overhead on top of the standard 2x BLoB overhead.</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Apply the structured approximation (V V^T correction) only to the top-4 layers of the base expert — the layers where uncertainty propagation is most critical for output quality. Lower layers use standard diagonal BLoB. This reduces the structured VI overhead from 10% to approximately 2.5% while retaining most of the calibration improvement.</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5.  Expert-Aware Synthesis Model</w:t>
      </w:r>
    </w:p>
    <w:p>
      <w:pPr>
        <w:pStyle w:val="Heading2"/>
        <w:spacing w:before="320" w:after="120"/>
      </w:pPr>
      <w:r>
        <w:rPr>
          <w:rFonts w:ascii="Arial" w:cs="Arial" w:eastAsia="Arial" w:hAnsi="Arial"/>
          <w:b/>
          <w:bCs/>
          <w:color w:val="2E86AB"/>
          <w:sz w:val="28"/>
          <w:szCs w:val="28"/>
        </w:rPr>
        <w:t xml:space="preserve">5.1  Purpose and Role</w:t>
      </w:r>
    </w:p>
    <w:p>
      <w:pPr>
        <w:spacing w:before="60" w:after="100"/>
      </w:pPr>
      <w:r>
        <w:rPr>
          <w:rFonts w:ascii="Arial" w:cs="Arial" w:eastAsia="Arial" w:hAnsi="Arial"/>
          <w:color w:val="1C1C1C"/>
          <w:sz w:val="22"/>
          <w:szCs w:val="22"/>
        </w:rPr>
        <w:t xml:space="preserve">The Expert-Aware Synthesis Model (EASM) is a general language model fine-tuned on the outputs of the current DEMoE expert population. It serves two distinct operational roles that occur at different points in the query processing pipeline.</w:t>
      </w:r>
    </w:p>
    <w:p>
      <w:pPr>
        <w:spacing w:before="60" w:after="100"/>
      </w:pPr>
      <w:r>
        <w:rPr>
          <w:rFonts w:ascii="Arial" w:cs="Arial" w:eastAsia="Arial" w:hAnsi="Arial"/>
          <w:color w:val="1C1C1C"/>
          <w:sz w:val="22"/>
          <w:szCs w:val="22"/>
        </w:rPr>
        <w:t xml:space="preserve">In planning mode, invoked before routing, the EASM decomposes complex incoming queries into natural language sub-questions mapped to specific expert domains. This replaces the combination of the rule-based complexity classifier and the multi-vector encoder that previous versions used for query decomposition, providing a more expressive, interpretable, and flexible decomposition.</w:t>
      </w:r>
    </w:p>
    <w:p>
      <w:pPr>
        <w:spacing w:before="60" w:after="100"/>
      </w:pPr>
      <w:r>
        <w:rPr>
          <w:rFonts w:ascii="Arial" w:cs="Arial" w:eastAsia="Arial" w:hAnsi="Arial"/>
          <w:color w:val="1C1C1C"/>
          <w:sz w:val="22"/>
          <w:szCs w:val="22"/>
        </w:rPr>
        <w:t xml:space="preserve">In synthesis mode, invoked after expert activation, the EASM integrates multiple expert outputs into a single coherent response. Because it has been fine-tuned specifically on the current expert population's outputs, it has learned the terminological conventions, hedging styles, and conceptual vocabularies of each expert. This allows it to recognize when two experts are describing the same concept in different words versus making genuinely distinct claims — closing the cross-expert semantic alignment open problem from v3.0.</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5.2  Base Model and Architecture</w:t>
      </w:r>
    </w:p>
    <w:p>
      <w:pPr>
        <w:spacing w:before="60" w:after="100"/>
      </w:pPr>
      <w:r>
        <w:rPr>
          <w:rFonts w:ascii="Arial" w:cs="Arial" w:eastAsia="Arial" w:hAnsi="Arial"/>
          <w:color w:val="1C1C1C"/>
          <w:sz w:val="22"/>
          <w:szCs w:val="22"/>
        </w:rPr>
        <w:t xml:space="preserve">The EASM is built on a 7B–13B parameter general-purpose language model (Mistral-7B-Instruct or LLaMA-3.1-8B-Instruct are suitable). This size range provides sufficient reasoning capacity for multi-step planning and cross-domain synthesis without the inference cost of larger models. The EASM is not a domain expert — it stores no domain-specific factual knowledge. It learns how domain experts communicate and how to integrate their outputs.</w:t>
      </w:r>
    </w:p>
    <w:p>
      <w:pPr>
        <w:spacing w:before="60" w:after="100"/>
      </w:pPr>
      <w:r>
        <w:rPr>
          <w:rFonts w:ascii="Arial" w:cs="Arial" w:eastAsia="Arial" w:hAnsi="Arial"/>
          <w:color w:val="1C1C1C"/>
          <w:sz w:val="22"/>
          <w:szCs w:val="22"/>
        </w:rPr>
        <w:t xml:space="preserve">The EASM has two separate LoRA adapter sets: one for planning mode (P_plan) and one for synthesis mode (P_synth). Both adapters share the same base model weights. Using separate adapters allows planning and synthesis to be fine-tuned on different training objectives without interference. The base model weights are frozen; all EASM learning occurs through the adapter parameters.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5.3  Training the EASM</w:t>
      </w:r>
    </w:p>
    <w:p>
      <w:pPr>
        <w:pStyle w:val="Heading3"/>
        <w:spacing w:before="240" w:after="80"/>
      </w:pPr>
      <w:r>
        <w:rPr>
          <w:rFonts w:ascii="Arial" w:cs="Arial" w:eastAsia="Arial" w:hAnsi="Arial"/>
          <w:b/>
          <w:bCs/>
          <w:color w:val="1B3A5C"/>
          <w:sz w:val="24"/>
          <w:szCs w:val="24"/>
        </w:rPr>
        <w:t xml:space="preserve">5.3.1  Planning Adapter Training</w:t>
      </w:r>
    </w:p>
    <w:p>
      <w:pPr>
        <w:spacing w:before="60" w:after="100"/>
      </w:pPr>
      <w:r>
        <w:rPr>
          <w:rFonts w:ascii="Arial" w:cs="Arial" w:eastAsia="Arial" w:hAnsi="Arial"/>
          <w:color w:val="1C1C1C"/>
          <w:sz w:val="22"/>
          <w:szCs w:val="22"/>
        </w:rPr>
        <w:t xml:space="preserve">The planning adapter is trained to decompose complex queries into structured natural language decompositions that identify sub-questions, their expert domain targets, and the integration dependencies between them.</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Planning Adapter Training Data</w:t>
            </w:r>
          </w:p>
          <w:p>
            <w:pPr>
              <w:spacing w:before="60" w:after="100"/>
            </w:pPr>
            <w:r>
              <w:rPr>
                <w:rFonts w:ascii="Arial" w:cs="Arial" w:eastAsia="Arial" w:hAnsi="Arial"/>
                <w:color w:val="1C1C1C"/>
                <w:sz w:val="22"/>
                <w:szCs w:val="22"/>
              </w:rPr>
              <w:t xml:space="preserve">Training examples have the form: (complex query → structured decomposition). The decomposition specifies: the N sub-questions that together answer the full query, the domain label for each sub-question, the integration relationship between sub-questions (independent parallel, sequential with dependency, or hierarchical), and a confidence flag on the decomposition itself.</w:t>
            </w:r>
          </w:p>
          <w:p>
            <w:pPr>
              <w:spacing w:before="0" w:after="40"/>
            </w:pPr>
            <w:r>
              <w:t xml:space="preserve"/>
            </w:r>
          </w:p>
          <w:p>
            <w:pPr>
              <w:spacing w:before="60" w:after="100"/>
            </w:pPr>
            <w:r>
              <w:rPr>
                <w:rFonts w:ascii="Arial" w:cs="Arial" w:eastAsia="Arial" w:hAnsi="Arial"/>
                <w:color w:val="1C1C1C"/>
                <w:sz w:val="22"/>
                <w:szCs w:val="22"/>
              </w:rPr>
              <w:t xml:space="preserve">Training data sources:</w:t>
            </w:r>
          </w:p>
          <w:p>
            <w:pPr>
              <w:pStyle w:val="ListParagraph"/>
              <w:numPr>
                <w:ilvl w:val="0"/>
                <w:numId w:val="2"/>
              </w:numPr>
              <w:spacing w:before="40" w:after="40"/>
            </w:pPr>
            <w:r>
              <w:rPr>
                <w:rFonts w:ascii="Arial" w:cs="Arial" w:eastAsia="Arial" w:hAnsi="Arial"/>
                <w:b/>
                <w:bCs/>
                <w:color w:val="1B3A5C"/>
                <w:sz w:val="21"/>
                <w:szCs w:val="21"/>
              </w:rPr>
              <w:t xml:space="preserve">Synthetic decompositions: </w:t>
            </w:r>
            <w:r>
              <w:rPr>
                <w:rFonts w:ascii="Arial" w:cs="Arial" w:eastAsia="Arial" w:hAnsi="Arial"/>
                <w:color w:val="1C1C1C"/>
                <w:sz w:val="21"/>
                <w:szCs w:val="21"/>
              </w:rPr>
              <w:t xml:space="preserve">generate diverse complex queries spanning multiple domains using a frontier model. Have the frontier model produce reference decompositions. Use these as training examples for planning adapter cold-start.</w:t>
            </w:r>
          </w:p>
          <w:p>
            <w:pPr>
              <w:pStyle w:val="ListParagraph"/>
              <w:numPr>
                <w:ilvl w:val="0"/>
                <w:numId w:val="2"/>
              </w:numPr>
              <w:spacing w:before="40" w:after="40"/>
            </w:pPr>
            <w:r>
              <w:rPr>
                <w:rFonts w:ascii="Arial" w:cs="Arial" w:eastAsia="Arial" w:hAnsi="Arial"/>
                <w:b/>
                <w:bCs/>
                <w:color w:val="1B3A5C"/>
                <w:sz w:val="21"/>
                <w:szCs w:val="21"/>
              </w:rPr>
              <w:t xml:space="preserve">Human-labeled decompositions: </w:t>
            </w:r>
            <w:r>
              <w:rPr>
                <w:rFonts w:ascii="Arial" w:cs="Arial" w:eastAsia="Arial" w:hAnsi="Arial"/>
                <w:color w:val="1C1C1C"/>
                <w:sz w:val="21"/>
                <w:szCs w:val="21"/>
              </w:rPr>
              <w:t xml:space="preserve">a small set (500–1,000 examples) of human-reviewed decompositions provides high-quality fine-grained signal, particularly for decompositions where integration dependencies are subtle.</w:t>
            </w:r>
          </w:p>
          <w:p>
            <w:pPr>
              <w:pStyle w:val="ListParagraph"/>
              <w:numPr>
                <w:ilvl w:val="0"/>
                <w:numId w:val="2"/>
              </w:numPr>
              <w:spacing w:before="40" w:after="40"/>
            </w:pPr>
            <w:r>
              <w:rPr>
                <w:rFonts w:ascii="Arial" w:cs="Arial" w:eastAsia="Arial" w:hAnsi="Arial"/>
                <w:b/>
                <w:bCs/>
                <w:color w:val="1B3A5C"/>
                <w:sz w:val="21"/>
                <w:szCs w:val="21"/>
              </w:rPr>
              <w:t xml:space="preserve">Retrospective decompositions: </w:t>
            </w:r>
            <w:r>
              <w:rPr>
                <w:rFonts w:ascii="Arial" w:cs="Arial" w:eastAsia="Arial" w:hAnsi="Arial"/>
                <w:color w:val="1C1C1C"/>
                <w:sz w:val="21"/>
                <w:szCs w:val="21"/>
              </w:rPr>
              <w:t xml:space="preserve">for multi-expert queries that were processed by the system and received high synthesis quality scores, extract the routing decisions and expert selections as implicit decompositions. These provide real distribution-matched training data as the system accumulates usage.</w:t>
            </w:r>
          </w:p>
        </w:tc>
      </w:tr>
    </w:tbl>
    <w:p>
      <w:pPr>
        <w:spacing w:before="0" w:after="60"/>
      </w:pPr>
      <w:r>
        <w:t xml:space="preserve"/>
      </w:r>
    </w:p>
    <w:p>
      <w:pPr>
        <w:pStyle w:val="Heading3"/>
        <w:spacing w:before="240" w:after="80"/>
      </w:pPr>
      <w:r>
        <w:rPr>
          <w:rFonts w:ascii="Arial" w:cs="Arial" w:eastAsia="Arial" w:hAnsi="Arial"/>
          <w:b/>
          <w:bCs/>
          <w:color w:val="1B3A5C"/>
          <w:sz w:val="24"/>
          <w:szCs w:val="24"/>
        </w:rPr>
        <w:t xml:space="preserve">5.3.2  Synthesis Adapter Training</w:t>
      </w:r>
    </w:p>
    <w:p>
      <w:pPr>
        <w:spacing w:before="60" w:after="100"/>
      </w:pPr>
      <w:r>
        <w:rPr>
          <w:rFonts w:ascii="Arial" w:cs="Arial" w:eastAsia="Arial" w:hAnsi="Arial"/>
          <w:color w:val="1C1C1C"/>
          <w:sz w:val="22"/>
          <w:szCs w:val="22"/>
        </w:rPr>
        <w:t xml:space="preserve">The synthesis adapter is trained on two simultaneous objectives: cross-expert output integration and cross-expert paraphrase recognition.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1"/>
              <w:left w:val="single" w:color="4A235A" w:sz="1"/>
              <w:bottom w:val="single" w:color="4A235A" w:sz="1"/>
              <w:right w:val="single" w:color="4A235A" w:sz="1"/>
            </w:tcBorders>
            <w:shd w:fill="F5EEF8" w:val="clear"/>
            <w:tcMar>
              <w:top w:type="dxa" w:w="120"/>
              <w:left w:type="dxa" w:w="180"/>
              <w:bottom w:type="dxa" w:w="120"/>
              <w:right w:type="dxa" w:w="180"/>
            </w:tcMar>
          </w:tcPr>
          <w:p>
            <w:pPr>
              <w:spacing w:before="0" w:after="80"/>
            </w:pPr>
            <w:r>
              <w:rPr>
                <w:rFonts w:ascii="Arial" w:cs="Arial" w:eastAsia="Arial" w:hAnsi="Arial"/>
                <w:b/>
                <w:bCs/>
                <w:color w:val="4A235A"/>
                <w:sz w:val="21"/>
                <w:szCs w:val="21"/>
              </w:rPr>
              <w:t xml:space="preserve">Synthesis Adapter — Primary Objective: Expert Output Integration</w:t>
            </w:r>
          </w:p>
          <w:p>
            <w:pPr>
              <w:spacing w:before="60" w:after="100"/>
            </w:pPr>
            <w:r>
              <w:rPr>
                <w:rFonts w:ascii="Arial" w:cs="Arial" w:eastAsia="Arial" w:hAnsi="Arial"/>
                <w:color w:val="1C1C1C"/>
                <w:sz w:val="22"/>
                <w:szCs w:val="22"/>
              </w:rPr>
              <w:t xml:space="preserve">Training examples have the form: ((concept_1, expert_1_output, confidence_1), ..., (concept_N, expert_N_output, confidence_N), thought_template) → integrated_response.</w:t>
            </w:r>
          </w:p>
          <w:p>
            <w:pPr>
              <w:spacing w:before="60" w:after="100"/>
            </w:pPr>
            <w:r>
              <w:rPr>
                <w:rFonts w:ascii="Arial" w:cs="Arial" w:eastAsia="Arial" w:hAnsi="Arial"/>
                <w:color w:val="1C1C1C"/>
                <w:sz w:val="22"/>
                <w:szCs w:val="22"/>
              </w:rPr>
              <w:t xml:space="preserve">Training data sources in priority order:</w:t>
            </w:r>
          </w:p>
          <w:p>
            <w:pPr>
              <w:pStyle w:val="ListParagraph"/>
              <w:numPr>
                <w:ilvl w:val="0"/>
                <w:numId w:val="2"/>
              </w:numPr>
              <w:spacing w:before="40" w:after="40"/>
            </w:pPr>
            <w:r>
              <w:rPr>
                <w:rFonts w:ascii="Arial" w:cs="Arial" w:eastAsia="Arial" w:hAnsi="Arial"/>
                <w:b/>
                <w:bCs/>
                <w:color w:val="1B3A5C"/>
                <w:sz w:val="21"/>
                <w:szCs w:val="21"/>
              </w:rPr>
              <w:t xml:space="preserve">Bootstrap synthesis pairs: </w:t>
            </w:r>
            <w:r>
              <w:rPr>
                <w:rFonts w:ascii="Arial" w:cs="Arial" w:eastAsia="Arial" w:hAnsi="Arial"/>
                <w:color w:val="1C1C1C"/>
                <w:sz w:val="21"/>
                <w:szCs w:val="21"/>
              </w:rPr>
              <w:t xml:space="preserve">for each pair of experts with overlapping domain coverage, run both on a shared query set drawn from the overlap region. Have a frontier model produce a reference synthesis. This bootstraps alignment training before any real usage data is available and is the primary source of cross-expert alignment signal.</w:t>
            </w:r>
          </w:p>
          <w:p>
            <w:pPr>
              <w:pStyle w:val="ListParagraph"/>
              <w:numPr>
                <w:ilvl w:val="0"/>
                <w:numId w:val="2"/>
              </w:numPr>
              <w:spacing w:before="40" w:after="40"/>
            </w:pPr>
            <w:r>
              <w:rPr>
                <w:rFonts w:ascii="Arial" w:cs="Arial" w:eastAsia="Arial" w:hAnsi="Arial"/>
                <w:b/>
                <w:bCs/>
                <w:color w:val="1B3A5C"/>
                <w:sz w:val="21"/>
                <w:szCs w:val="21"/>
              </w:rPr>
              <w:t xml:space="preserve">Usage-derived synthesis pairs: </w:t>
            </w:r>
            <w:r>
              <w:rPr>
                <w:rFonts w:ascii="Arial" w:cs="Arial" w:eastAsia="Arial" w:hAnsi="Arial"/>
                <w:color w:val="1C1C1C"/>
                <w:sz w:val="21"/>
                <w:szCs w:val="21"/>
              </w:rPr>
              <w:t xml:space="preserve">successful multi-expert syntheses from system operation — passing the dual-source traceability check — are continuously added to training data.</w:t>
            </w:r>
          </w:p>
          <w:p>
            <w:pPr>
              <w:pStyle w:val="ListParagraph"/>
              <w:numPr>
                <w:ilvl w:val="0"/>
                <w:numId w:val="2"/>
              </w:numPr>
              <w:spacing w:before="40" w:after="40"/>
            </w:pPr>
            <w:r>
              <w:rPr>
                <w:rFonts w:ascii="Arial" w:cs="Arial" w:eastAsia="Arial" w:hAnsi="Arial"/>
                <w:b/>
                <w:bCs/>
                <w:color w:val="1B3A5C"/>
                <w:sz w:val="21"/>
                <w:szCs w:val="21"/>
              </w:rPr>
              <w:t xml:space="preserve">Thought template-guided pairs: </w:t>
            </w:r>
            <w:r>
              <w:rPr>
                <w:rFonts w:ascii="Arial" w:cs="Arial" w:eastAsia="Arial" w:hAnsi="Arial"/>
                <w:color w:val="1C1C1C"/>
                <w:sz w:val="21"/>
                <w:szCs w:val="21"/>
              </w:rPr>
              <w:t xml:space="preserve">use the synthesis template library (Section 6.4) as few-shot context for producing training examples, ensuring the synthesis adapter learns the template-guided integration patterns.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1"/>
              <w:left w:val="single" w:color="4A235A" w:sz="1"/>
              <w:bottom w:val="single" w:color="4A235A" w:sz="1"/>
              <w:right w:val="single" w:color="4A235A" w:sz="1"/>
            </w:tcBorders>
            <w:shd w:fill="F5EEF8" w:val="clear"/>
            <w:tcMar>
              <w:top w:type="dxa" w:w="120"/>
              <w:left w:type="dxa" w:w="180"/>
              <w:bottom w:type="dxa" w:w="120"/>
              <w:right w:type="dxa" w:w="180"/>
            </w:tcMar>
          </w:tcPr>
          <w:p>
            <w:pPr>
              <w:spacing w:before="0" w:after="80"/>
            </w:pPr>
            <w:r>
              <w:rPr>
                <w:rFonts w:ascii="Arial" w:cs="Arial" w:eastAsia="Arial" w:hAnsi="Arial"/>
                <w:b/>
                <w:bCs/>
                <w:color w:val="4A235A"/>
                <w:sz w:val="21"/>
                <w:szCs w:val="21"/>
              </w:rPr>
              <w:t xml:space="preserve">Synthesis Adapter — Auxiliary Objective: Cross-Expert Paraphrase Recognition</w:t>
            </w:r>
          </w:p>
          <w:p>
            <w:pPr>
              <w:spacing w:before="60" w:after="100"/>
            </w:pPr>
            <w:r>
              <w:rPr>
                <w:rFonts w:ascii="Arial" w:cs="Arial" w:eastAsia="Arial" w:hAnsi="Arial"/>
                <w:color w:val="1C1C1C"/>
                <w:sz w:val="22"/>
                <w:szCs w:val="22"/>
              </w:rPr>
              <w:t xml:space="preserve">This auxiliary task directly targets the cross-expert semantic alignment problem. Given two expert outputs (possibly from different experts with different terminological conventions), predict whether they are semantically equivalent, semantically related but distinct, or semantically unrelated.</w:t>
            </w:r>
          </w:p>
          <w:p>
            <w:pPr>
              <w:spacing w:before="60" w:after="100"/>
            </w:pPr>
            <w:r>
              <w:rPr>
                <w:rFonts w:ascii="Arial" w:cs="Arial" w:eastAsia="Arial" w:hAnsi="Arial"/>
                <w:color w:val="1C1C1C"/>
                <w:sz w:val="22"/>
                <w:szCs w:val="22"/>
              </w:rPr>
              <w:t xml:space="preserve">Training data: generate (output_A, output_B, label) triples where label ∈ {equivalent, related, unrelated}. Equivalent pairs are produced by running two experts on the same query and identifying outputs that describe the same mechanism or conclusion. Related pairs come from outputs that cover adjacent but distinct aspects. Unrelated pairs come from expert outputs on different topics.</w:t>
            </w:r>
          </w:p>
          <w:p>
            <w:pPr>
              <w:spacing w:before="60" w:after="100"/>
            </w:pPr>
            <w:r>
              <w:rPr>
                <w:rFonts w:ascii="Arial" w:cs="Arial" w:eastAsia="Arial" w:hAnsi="Arial"/>
                <w:color w:val="1C1C1C"/>
                <w:sz w:val="22"/>
                <w:szCs w:val="22"/>
              </w:rPr>
              <w:t xml:space="preserve">Training signal: cross-entropy loss on the three-way classification, summed with the primary integration loss. Weight: 0.3 × auxiliary loss + 0.7 × primary loss. The paraphrase recognition objective directly trains the EASM to detect when differently-phrased expert outputs are saying the same thing — the core capability needed for semantic alignment.</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5.4  Planning Mode — Operation</w:t>
      </w:r>
    </w:p>
    <w:p>
      <w:pPr>
        <w:spacing w:before="60" w:after="100"/>
      </w:pPr>
      <w:r>
        <w:rPr>
          <w:rFonts w:ascii="Arial" w:cs="Arial" w:eastAsia="Arial" w:hAnsi="Arial"/>
          <w:color w:val="1C1C1C"/>
          <w:sz w:val="22"/>
          <w:szCs w:val="22"/>
        </w:rPr>
        <w:t xml:space="preserve">Planning mode is invoked for every incoming query before routing. The query is passed to the EASM with the planning adapter activated. The EASM produces a structured decomposition in natural language.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Planning Mode Output Format</w:t>
            </w:r>
          </w:p>
          <w:p>
            <w:pPr>
              <w:spacing w:before="60" w:after="100"/>
            </w:pPr>
            <w:r>
              <w:rPr>
                <w:rFonts w:ascii="Arial" w:cs="Arial" w:eastAsia="Arial" w:hAnsi="Arial"/>
                <w:color w:val="1C1C1C"/>
                <w:sz w:val="22"/>
                <w:szCs w:val="22"/>
              </w:rPr>
              <w:t xml:space="preserve">The EASM's planning output specifies:</w:t>
            </w:r>
          </w:p>
          <w:p>
            <w:pPr>
              <w:pStyle w:val="ListParagraph"/>
              <w:numPr>
                <w:ilvl w:val="0"/>
                <w:numId w:val="2"/>
              </w:numPr>
              <w:spacing w:before="40" w:after="40"/>
            </w:pPr>
            <w:r>
              <w:rPr>
                <w:rFonts w:ascii="Arial" w:cs="Arial" w:eastAsia="Arial" w:hAnsi="Arial"/>
                <w:b/>
                <w:bCs/>
                <w:color w:val="1B3A5C"/>
                <w:sz w:val="21"/>
                <w:szCs w:val="21"/>
              </w:rPr>
              <w:t xml:space="preserve">Complexity verdict: </w:t>
            </w:r>
            <w:r>
              <w:rPr>
                <w:rFonts w:ascii="Arial" w:cs="Arial" w:eastAsia="Arial" w:hAnsi="Arial"/>
                <w:color w:val="1C1C1C"/>
                <w:sz w:val="21"/>
                <w:szCs w:val="21"/>
              </w:rPr>
              <w:t xml:space="preserve">single-expert or multi-expert query. If single-expert, the planning output includes a domain label and the query is passed directly to the geometric router. No further planning processing.</w:t>
            </w:r>
          </w:p>
          <w:p>
            <w:pPr>
              <w:pStyle w:val="ListParagraph"/>
              <w:numPr>
                <w:ilvl w:val="0"/>
                <w:numId w:val="2"/>
              </w:numPr>
              <w:spacing w:before="40" w:after="40"/>
            </w:pPr>
            <w:r>
              <w:rPr>
                <w:rFonts w:ascii="Arial" w:cs="Arial" w:eastAsia="Arial" w:hAnsi="Arial"/>
                <w:b/>
                <w:bCs/>
                <w:color w:val="1B3A5C"/>
                <w:sz w:val="21"/>
                <w:szCs w:val="21"/>
              </w:rPr>
              <w:t xml:space="preserve">Sub-questions (for multi-expert queries): </w:t>
            </w:r>
            <w:r>
              <w:rPr>
                <w:rFonts w:ascii="Arial" w:cs="Arial" w:eastAsia="Arial" w:hAnsi="Arial"/>
                <w:color w:val="1C1C1C"/>
                <w:sz w:val="21"/>
                <w:szCs w:val="21"/>
              </w:rPr>
              <w:t xml:space="preserve">N natural language sub-questions (N ≤ 3, enforced by the budget-constrained activation protocol), each self-contained and independently answerable.</w:t>
            </w:r>
          </w:p>
          <w:p>
            <w:pPr>
              <w:pStyle w:val="ListParagraph"/>
              <w:numPr>
                <w:ilvl w:val="0"/>
                <w:numId w:val="2"/>
              </w:numPr>
              <w:spacing w:before="40" w:after="40"/>
            </w:pPr>
            <w:r>
              <w:rPr>
                <w:rFonts w:ascii="Arial" w:cs="Arial" w:eastAsia="Arial" w:hAnsi="Arial"/>
                <w:b/>
                <w:bCs/>
                <w:color w:val="1B3A5C"/>
                <w:sz w:val="21"/>
                <w:szCs w:val="21"/>
              </w:rPr>
              <w:t xml:space="preserve">Domain labels: </w:t>
            </w:r>
            <w:r>
              <w:rPr>
                <w:rFonts w:ascii="Arial" w:cs="Arial" w:eastAsia="Arial" w:hAnsi="Arial"/>
                <w:color w:val="1C1C1C"/>
                <w:sz w:val="21"/>
                <w:szCs w:val="21"/>
              </w:rPr>
              <w:t xml:space="preserve">for each sub-question, a natural language domain label (e.g., 'cardiology — arrhythmia mechanisms', 'pharmacology — antiarrhythmic drug classes') used to guide routing.</w:t>
            </w:r>
          </w:p>
          <w:p>
            <w:pPr>
              <w:pStyle w:val="ListParagraph"/>
              <w:numPr>
                <w:ilvl w:val="0"/>
                <w:numId w:val="2"/>
              </w:numPr>
              <w:spacing w:before="40" w:after="40"/>
            </w:pPr>
            <w:r>
              <w:rPr>
                <w:rFonts w:ascii="Arial" w:cs="Arial" w:eastAsia="Arial" w:hAnsi="Arial"/>
                <w:b/>
                <w:bCs/>
                <w:color w:val="1B3A5C"/>
                <w:sz w:val="21"/>
                <w:szCs w:val="21"/>
              </w:rPr>
              <w:t xml:space="preserve">Integration structure: </w:t>
            </w:r>
            <w:r>
              <w:rPr>
                <w:rFonts w:ascii="Arial" w:cs="Arial" w:eastAsia="Arial" w:hAnsi="Arial"/>
                <w:color w:val="1C1C1C"/>
                <w:sz w:val="21"/>
                <w:szCs w:val="21"/>
              </w:rPr>
              <w:t xml:space="preserve">one of: parallel (sub-questions independent), sequential (answer to sub-question i needed to frame sub-question i+1), or hierarchical (one sub-question contextualizes the others).</w:t>
            </w:r>
          </w:p>
          <w:p>
            <w:pPr>
              <w:pStyle w:val="ListParagraph"/>
              <w:numPr>
                <w:ilvl w:val="0"/>
                <w:numId w:val="2"/>
              </w:numPr>
              <w:spacing w:before="40" w:after="40"/>
            </w:pPr>
            <w:r>
              <w:rPr>
                <w:rFonts w:ascii="Arial" w:cs="Arial" w:eastAsia="Arial" w:hAnsi="Arial"/>
                <w:b/>
                <w:bCs/>
                <w:color w:val="1B3A5C"/>
                <w:sz w:val="21"/>
                <w:szCs w:val="21"/>
              </w:rPr>
              <w:t xml:space="preserve">Decomposition confidence: </w:t>
            </w:r>
            <w:r>
              <w:rPr>
                <w:rFonts w:ascii="Arial" w:cs="Arial" w:eastAsia="Arial" w:hAnsi="Arial"/>
                <w:color w:val="1C1C1C"/>
                <w:sz w:val="21"/>
                <w:szCs w:val="21"/>
              </w:rPr>
              <w:t xml:space="preserve">a self-assessed confidence score on the decomposition itself. Low confidence triggers the clarification mechanism rather than proceeding to routing.</w:t>
            </w:r>
          </w:p>
        </w:tc>
      </w:tr>
    </w:tbl>
    <w:p>
      <w:pPr>
        <w:spacing w:before="0" w:after="40"/>
      </w:pPr>
      <w:r>
        <w:t xml:space="preserve"/>
      </w:r>
    </w:p>
    <w:p>
      <w:pPr>
        <w:spacing w:before="60" w:after="100"/>
      </w:pPr>
      <w:r>
        <w:rPr>
          <w:rFonts w:ascii="Arial" w:cs="Arial" w:eastAsia="Arial" w:hAnsi="Arial"/>
          <w:color w:val="1C1C1C"/>
          <w:sz w:val="22"/>
          <w:szCs w:val="22"/>
        </w:rPr>
        <w:t xml:space="preserve">The domain labels from the planning output replace multi-vector concept embeddings as the inputs to the geometric router's MRL retrieval. Each domain label is embedded using the MRL encoder, and the FAISS search retrieves expert candidates by proximity to these label embeddings. This is more expressive than raw concept vector extraction because the EASM can produce domain labels that reflect the integration structure — a label like 'pharmacology — drug mechanism given cardiac arrhythmia context' is richer than a raw concept embedding of 'drug mechanism'.</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5.5  Synthesis Mode — Operation</w:t>
      </w:r>
    </w:p>
    <w:p>
      <w:pPr>
        <w:spacing w:before="60" w:after="100"/>
      </w:pPr>
      <w:r>
        <w:rPr>
          <w:rFonts w:ascii="Arial" w:cs="Arial" w:eastAsia="Arial" w:hAnsi="Arial"/>
          <w:color w:val="1C1C1C"/>
          <w:sz w:val="22"/>
          <w:szCs w:val="22"/>
        </w:rPr>
        <w:t xml:space="preserve">Synthesis mode is invoked after expert activation completes, for multi-expert queries only. The EASM receives the structured context from the routing deduplication and concept-aligned ordering step, along with retrieved thought templates. It runs in synthesis mode with the synthesis adapter activated.</w:t>
      </w:r>
    </w:p>
    <w:p>
      <w:pPr>
        <w:spacing w:before="60" w:after="100"/>
      </w:pPr>
      <w:r>
        <w:rPr>
          <w:rFonts w:ascii="Arial" w:cs="Arial" w:eastAsia="Arial" w:hAnsi="Arial"/>
          <w:color w:val="1C1C1C"/>
          <w:sz w:val="22"/>
          <w:szCs w:val="22"/>
        </w:rPr>
        <w:t xml:space="preserve">Critically, the EASM's synthesis mode is not merely a text merger. The paraphrase recognition training enables it to actively detect when two experts are describing the same mechanism with different vocabulary — and to represent this in the output as a single unified claim rather than two parallel claims that confuse the reader. This is the precise capability that was missing in v3.0 and was listed as an open problem.</w:t>
      </w:r>
    </w:p>
    <w:p>
      <w:pPr>
        <w:spacing w:before="60" w:after="100"/>
      </w:pPr>
      <w:r>
        <w:rPr>
          <w:rFonts w:ascii="Arial" w:cs="Arial" w:eastAsia="Arial" w:hAnsi="Arial"/>
          <w:color w:val="1C1C1C"/>
          <w:sz w:val="22"/>
          <w:szCs w:val="22"/>
        </w:rPr>
        <w:t xml:space="preserve">The EASM synthesizes with explicit uncertainty awareness: expert outputs with high BLoB uncertainty are presented with hedged language; outputs with low uncertainty are presented with full confidence; integration connections that the EASM itself is uncertain about (detectable by synthesis-level TokUR on the output) are explicitly flagged rather than stated as confident inferences.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5.6  Continual Update Protocol — New Expert Registration</w:t>
      </w:r>
    </w:p>
    <w:p>
      <w:pPr>
        <w:spacing w:before="60" w:after="100"/>
      </w:pPr>
      <w:r>
        <w:rPr>
          <w:rFonts w:ascii="Arial" w:cs="Arial" w:eastAsia="Arial" w:hAnsi="Arial"/>
          <w:color w:val="1C1C1C"/>
          <w:sz w:val="22"/>
          <w:szCs w:val="22"/>
        </w:rPr>
        <w:t xml:space="preserve">Every time a new base expert is registered in the system, the EASM's synthesis adapter must be updated to learn the new expert's terminological conventions. This is the primary continual learning challenge for the EASM — without updates, it will not recognize semantic equivalences between the new expert's outputs and those of existing experts.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EASM Update on New Expert Registration</w:t>
            </w:r>
          </w:p>
          <w:p>
            <w:pPr>
              <w:pStyle w:val="ListParagraph"/>
              <w:numPr>
                <w:ilvl w:val="0"/>
                <w:numId w:val="3"/>
              </w:numPr>
              <w:spacing w:before="40" w:after="40"/>
            </w:pPr>
            <w:r>
              <w:rPr>
                <w:rFonts w:ascii="Arial" w:cs="Arial" w:eastAsia="Arial" w:hAnsi="Arial"/>
                <w:color w:val="1C1C1C"/>
                <w:sz w:val="21"/>
                <w:szCs w:val="21"/>
              </w:rPr>
              <w:t xml:space="preserve">When a new expert is registered, run it on a shared alignment probe set — a fixed set of 500 queries drawn from the overlap regions between the new expert's domain and all existing expert domains.</w:t>
            </w:r>
          </w:p>
          <w:p>
            <w:pPr>
              <w:pStyle w:val="ListParagraph"/>
              <w:numPr>
                <w:ilvl w:val="0"/>
                <w:numId w:val="3"/>
              </w:numPr>
              <w:spacing w:before="40" w:after="40"/>
            </w:pPr>
            <w:r>
              <w:rPr>
                <w:rFonts w:ascii="Arial" w:cs="Arial" w:eastAsia="Arial" w:hAnsi="Arial"/>
                <w:color w:val="1C1C1C"/>
                <w:sz w:val="21"/>
                <w:szCs w:val="21"/>
              </w:rPr>
              <w:t xml:space="preserve">For each probe query, collect the new expert's output alongside the outputs of existing experts in the same domain neighborhood. Create (new_expert_output, existing_expert_output, equivalence_label) training triples using a frontier model to label equivalence.</w:t>
            </w:r>
          </w:p>
          <w:p>
            <w:pPr>
              <w:pStyle w:val="ListParagraph"/>
              <w:numPr>
                <w:ilvl w:val="0"/>
                <w:numId w:val="3"/>
              </w:numPr>
              <w:spacing w:before="40" w:after="40"/>
            </w:pPr>
            <w:r>
              <w:rPr>
                <w:rFonts w:ascii="Arial" w:cs="Arial" w:eastAsia="Arial" w:hAnsi="Arial"/>
                <w:color w:val="1C1C1C"/>
                <w:sz w:val="21"/>
                <w:szCs w:val="21"/>
              </w:rPr>
              <w:t xml:space="preserve">Fine-tune the EASM synthesis adapter on these new triples using the paraphrase recognition auxiliary objective. This is a lightweight LoRA fine-tune requiring only ~500 labeled examples and runs in under one hour on a single GPU.</w:t>
            </w:r>
          </w:p>
          <w:p>
            <w:pPr>
              <w:pStyle w:val="ListParagraph"/>
              <w:numPr>
                <w:ilvl w:val="0"/>
                <w:numId w:val="3"/>
              </w:numPr>
              <w:spacing w:before="40" w:after="40"/>
            </w:pPr>
            <w:r>
              <w:rPr>
                <w:rFonts w:ascii="Arial" w:cs="Arial" w:eastAsia="Arial" w:hAnsi="Arial"/>
                <w:color w:val="1C1C1C"/>
                <w:sz w:val="21"/>
                <w:szCs w:val="21"/>
              </w:rPr>
              <w:t xml:space="preserve">Validate alignment quality by running a set of multi-expert synthesis probes that include the new expert and comparing to baseline synthesis quality. If alignment quality is below threshold, generate additional probe pairs and repeat the fine-tune.</w:t>
            </w:r>
          </w:p>
          <w:p>
            <w:pPr>
              <w:spacing w:before="0" w:after="40"/>
            </w:pPr>
            <w:r>
              <w:t xml:space="preserve"/>
            </w:r>
          </w:p>
          <w:p>
            <w:pPr>
              <w:spacing w:before="60" w:after="100"/>
            </w:pPr>
            <w:r>
              <w:rPr>
                <w:rFonts w:ascii="Arial" w:cs="Arial" w:eastAsia="Arial" w:hAnsi="Arial"/>
                <w:color w:val="1C1C1C"/>
                <w:sz w:val="22"/>
                <w:szCs w:val="22"/>
              </w:rPr>
              <w:t xml:space="preserve">This update does not require modifying the planning adapter — domain decomposition does not depend on individual expert terminological conventions, only on the domain structure. The planning adapter update cycle is slower: quarterly retraining on accumulated retrospective decompositions.</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5.7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5.A — EASM Inference Latency on Multi-Expert Queries</w:t>
            </w:r>
          </w:p>
          <w:p>
            <w:pPr>
              <w:spacing w:before="60" w:after="100"/>
            </w:pPr>
            <w:r>
              <w:rPr>
                <w:rFonts w:ascii="Arial" w:cs="Arial" w:eastAsia="Arial" w:hAnsi="Arial"/>
                <w:color w:val="1C1C1C"/>
                <w:sz w:val="22"/>
                <w:szCs w:val="22"/>
              </w:rPr>
              <w:t xml:space="preserve">The EASM adds two forward passes to multi-expert query processing: one in planning mode (before routing) and one in synthesis mode (after expert activation). For a 7B EASM, each pass adds meaningful latency. Single-expert queries incur only the planning pass.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Implement fast-path classification before invoking the EASM: run a lightweight binary classifier (single linear layer on the query embedding) to determine if a query is clearly single-expert with high confidence. Queries above a high-confidence single-expert threshold skip the full EASM planning pass and go directly to routing with a single query embedding. The full EASM planning pass is invoked only for queries where the fast classifier is uncertain — estimated to be approximately 20–30% of incoming queries in typical deployment contexts. Synthesis mode is invoked only when multiple experts are actually activated, estimated at 10–15% of queries.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5.B — EASM Hallucination in Synthesis Mode</w:t>
            </w:r>
          </w:p>
          <w:p>
            <w:pPr>
              <w:spacing w:before="60" w:after="100"/>
            </w:pPr>
            <w:r>
              <w:rPr>
                <w:rFonts w:ascii="Arial" w:cs="Arial" w:eastAsia="Arial" w:hAnsi="Arial"/>
                <w:color w:val="1C1C1C"/>
                <w:sz w:val="22"/>
                <w:szCs w:val="22"/>
              </w:rPr>
              <w:t xml:space="preserve">The EASM may generate integration connections between expert outputs that appear coherent but do not actually follow from either expert's claims. This is a hallucination risk specific to synthesis — the model generating plausible-sounding bridges between expert outputs.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Apply the dual-source traceability check from v3.0 as a post-synthesis filter: every factual claim in the synthesis output must be traceable to at least one of the source expert outputs. Claims that cannot be traced are flagged in the output as EASM inferences rather than expert-sourced claims. The synthesis-level TokUR pass monitors integration uncertainty; high TokUR on the synthesized output triggers an explicit synthesis uncertainty flag in the response rather than presenting it with the same confidence as expert-sourced content.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5.C — EASM Alignment Lag for New Experts</w:t>
            </w:r>
          </w:p>
          <w:p>
            <w:pPr>
              <w:spacing w:before="60" w:after="100"/>
            </w:pPr>
            <w:r>
              <w:rPr>
                <w:rFonts w:ascii="Arial" w:cs="Arial" w:eastAsia="Arial" w:hAnsi="Arial"/>
                <w:color w:val="1C1C1C"/>
                <w:sz w:val="22"/>
                <w:szCs w:val="22"/>
              </w:rPr>
              <w:t xml:space="preserve">Between new expert registration and EASM synthesis adapter update completion, multi-expert syntheses involving the new expert will not have learned alignment with its terminological conventions. This lag period (estimated under one hour with the proposed lightweight fine-tune) leaves a window of degraded synthesis quality.</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During the alignment lag window, apply a conservative synthesis policy for queries involving the new expert: present new expert outputs as clearly attributed direct quotes rather than semantically integrated claims. The EASM's synthesis mode uses an explicit attribution template ('According to the [domain] expert: ...') rather than attempting conceptual integration. Attribution-mode synthesis degrades response coherence slightly but eliminates the risk of misalignment-driven semantic errors.</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6.  Epistemic Uncertainty System</w:t>
      </w:r>
    </w:p>
    <w:p>
      <w:pPr>
        <w:pStyle w:val="Heading2"/>
        <w:spacing w:before="320" w:after="120"/>
      </w:pPr>
      <w:r>
        <w:rPr>
          <w:rFonts w:ascii="Arial" w:cs="Arial" w:eastAsia="Arial" w:hAnsi="Arial"/>
          <w:b/>
          <w:bCs/>
          <w:color w:val="2E86AB"/>
          <w:sz w:val="28"/>
          <w:szCs w:val="28"/>
        </w:rPr>
        <w:t xml:space="preserve">6.1  Two-Level Architecture</w:t>
      </w:r>
    </w:p>
    <w:p>
      <w:pPr>
        <w:spacing w:before="60" w:after="100"/>
      </w:pPr>
      <w:r>
        <w:rPr>
          <w:rFonts w:ascii="Arial" w:cs="Arial" w:eastAsia="Arial" w:hAnsi="Arial"/>
          <w:color w:val="1C1C1C"/>
          <w:sz w:val="22"/>
          <w:szCs w:val="22"/>
        </w:rPr>
        <w:t xml:space="preserve">Uncertainty estimation operates at two distinct levels using different methods. Base-model-level uncertainty (used for routing among base experts) uses TokUR token-level consistency plus Mahalanobis OOD distance — both applicable to unmodified base models. Adapter-level uncertainty (used for fine-grained adapter selection and sub-domain gap detection) uses BLoB posterior variance for internally trained adapters and Laplace-LoRA with calibration inflation for bootstrapped external adapters.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6.2  Level 1 — Base Expert Uncertainty: TokUR + Mahalanobis OOD</w:t>
      </w:r>
    </w:p>
    <w:p>
      <w:pPr>
        <w:pStyle w:val="Heading3"/>
        <w:spacing w:before="240" w:after="80"/>
      </w:pPr>
      <w:r>
        <w:rPr>
          <w:rFonts w:ascii="Arial" w:cs="Arial" w:eastAsia="Arial" w:hAnsi="Arial"/>
          <w:b/>
          <w:bCs/>
          <w:color w:val="1B3A5C"/>
          <w:sz w:val="24"/>
          <w:szCs w:val="24"/>
        </w:rPr>
        <w:t xml:space="preserve">TokUR — Single-Token Fast Approximation (Default)</w:t>
      </w:r>
    </w:p>
    <w:p>
      <w:pPr>
        <w:spacing w:before="60" w:after="100"/>
      </w:pPr>
      <w:r>
        <w:rPr>
          <w:rFonts w:ascii="Arial" w:cs="Arial" w:eastAsia="Arial" w:hAnsi="Arial"/>
          <w:color w:val="1C1C1C"/>
          <w:sz w:val="22"/>
          <w:szCs w:val="22"/>
        </w:rPr>
        <w:t xml:space="preserve">For each candidate base expert, run a single forward pass on the query. Compute the ratio of the top-1 token probability to the top-2 token probability:</w:t>
      </w:r>
    </w:p>
    <w:p>
      <w:pPr>
        <w:spacing w:before="80" w:after="80"/>
        <w:jc w:val="center"/>
      </w:pPr>
      <w:r>
        <w:rPr>
          <w:rFonts w:ascii="Courier New" w:cs="Courier New" w:eastAsia="Courier New" w:hAnsi="Courier New"/>
          <w:b/>
          <w:bCs/>
          <w:color w:val="1B3A5C"/>
          <w:sz w:val="22"/>
          <w:szCs w:val="22"/>
        </w:rPr>
        <w:t xml:space="preserve">TokUR_fast  =  1  −  ( p_1  /  p_2 )</w:t>
      </w:r>
    </w:p>
    <w:p>
      <w:pPr>
        <w:spacing w:before="60" w:after="100"/>
      </w:pPr>
      <w:r>
        <w:rPr>
          <w:rFonts w:ascii="Arial" w:cs="Arial" w:eastAsia="Arial" w:hAnsi="Arial"/>
          <w:color w:val="1C1C1C"/>
          <w:sz w:val="22"/>
          <w:szCs w:val="22"/>
        </w:rPr>
        <w:t xml:space="preserve">A high ratio (p_1 &gt;&gt; p_2) indicates confident prediction; a ratio near 1 (p_1 ≈ p_2) indicates uncertainty. Single-token approximation reduces routing overhead from K × N forward-pass steps to K single forward passes. Full N=30 token TokUR is reserved for ambiguous fast-approximation scores (between 0.3 and 0.7) and post-hoc validation for health monitoring.</w:t>
      </w:r>
    </w:p>
    <w:p>
      <w:pPr>
        <w:spacing w:before="0" w:after="40"/>
      </w:pPr>
      <w:r>
        <w:t xml:space="preserve"/>
      </w:r>
    </w:p>
    <w:p>
      <w:pPr>
        <w:pStyle w:val="Heading3"/>
        <w:spacing w:before="240" w:after="80"/>
      </w:pPr>
      <w:r>
        <w:rPr>
          <w:rFonts w:ascii="Arial" w:cs="Arial" w:eastAsia="Arial" w:hAnsi="Arial"/>
          <w:b/>
          <w:bCs/>
          <w:color w:val="1B3A5C"/>
          <w:sz w:val="24"/>
          <w:szCs w:val="24"/>
        </w:rPr>
        <w:t xml:space="preserve">Mahalanobis OOD Distance</w:t>
      </w:r>
    </w:p>
    <w:p>
      <w:pPr>
        <w:spacing w:before="80" w:after="80"/>
        <w:jc w:val="center"/>
      </w:pPr>
      <w:r>
        <w:rPr>
          <w:rFonts w:ascii="Courier New" w:cs="Courier New" w:eastAsia="Courier New" w:hAnsi="Courier New"/>
          <w:b/>
          <w:bCs/>
          <w:color w:val="1B3A5C"/>
          <w:sz w:val="22"/>
          <w:szCs w:val="22"/>
        </w:rPr>
        <w:t xml:space="preserve">D_M(q)  =  √ [ (q − μ)^T · Σ⁻¹ · (q − μ) ]</w:t>
      </w:r>
    </w:p>
    <w:p>
      <w:pPr>
        <w:spacing w:before="60" w:after="100"/>
      </w:pPr>
      <w:r>
        <w:rPr>
          <w:rFonts w:ascii="Arial" w:cs="Arial" w:eastAsia="Arial" w:hAnsi="Arial"/>
          <w:color w:val="1C1C1C"/>
          <w:sz w:val="22"/>
          <w:szCs w:val="22"/>
        </w:rPr>
        <w:t xml:space="preserve">Geometric OOD signal using diagonal covariance approximation for O(d) storage. Orthogonal to TokUR — catches overconfident extrapolations at domain boundaries that TokUR misses. Combined base-level score:</w:t>
      </w:r>
    </w:p>
    <w:p>
      <w:pPr>
        <w:spacing w:before="80" w:after="80"/>
        <w:jc w:val="center"/>
      </w:pPr>
      <w:r>
        <w:rPr>
          <w:rFonts w:ascii="Courier New" w:cs="Courier New" w:eastAsia="Courier New" w:hAnsi="Courier New"/>
          <w:b/>
          <w:bCs/>
          <w:color w:val="1B3A5C"/>
          <w:sz w:val="22"/>
          <w:szCs w:val="22"/>
        </w:rPr>
        <w:t xml:space="preserve">U_base  =  max( TokUR_fast_normalized ,  sigmoid(D_M − θ_routing(domain)) )</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6.3  Level 2 — Adapter Uncertainty</w:t>
      </w:r>
    </w:p>
    <w:p>
      <w:pPr>
        <w:spacing w:before="60" w:after="100"/>
      </w:pPr>
      <w:r>
        <w:rPr>
          <w:rFonts w:ascii="Arial" w:cs="Arial" w:eastAsia="Arial" w:hAnsi="Arial"/>
          <w:color w:val="1C1C1C"/>
          <w:sz w:val="22"/>
          <w:szCs w:val="22"/>
        </w:rPr>
        <w:t xml:space="preserve">For BLoB adapters: closed-form uncertainty estimate via law of total variance applied to posterior weight distributions. Sampling mode (5–10 weight draws) reserved for ambiguous cases and validation. For bootstrapped Laplace-LoRA adapters: linearized Laplace predictive variance, inflated by calibration factor c_bootstrap = 1.25 before percentile normalization to reflect lower approximation fidelity.</w:t>
      </w:r>
    </w:p>
    <w:p>
      <w:pPr>
        <w:spacing w:before="60" w:after="100"/>
      </w:pPr>
      <w:r>
        <w:rPr>
          <w:rFonts w:ascii="Arial" w:cs="Arial" w:eastAsia="Arial" w:hAnsi="Arial"/>
          <w:color w:val="1C1C1C"/>
          <w:sz w:val="22"/>
          <w:szCs w:val="22"/>
        </w:rPr>
        <w:t xml:space="preserve">All uncertainty estimates are percentile-normalized within each expert's calibration distribution before comparison. An uncertainty at the 90th percentile of any expert's distribution is treated as equivalent across experts, enabling cross-expert uncertainty comparison without requiring identical absolute calibration scales.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6.4  Learned Soft Thresholds</w:t>
      </w:r>
    </w:p>
    <w:p>
      <w:pPr>
        <w:spacing w:before="60" w:after="100"/>
      </w:pPr>
      <w:r>
        <w:rPr>
          <w:rFonts w:ascii="Arial" w:cs="Arial" w:eastAsia="Arial" w:hAnsi="Arial"/>
          <w:color w:val="1C1C1C"/>
          <w:sz w:val="22"/>
          <w:szCs w:val="22"/>
        </w:rPr>
        <w:t xml:space="preserve">Each threshold type is parameterized by a small domain-conditioned MLP that takes domain features as input and outputs a domain-appropriate threshold. Input features: expert centroid spread, historical uncertainty distribution percentiles for this domain (50th, 75th, 95th), query complexity score from EASM planning output, and expert count in the neighborhood. Trained on delayed-label routing decisions (7-day retrospective window). Separate MLP per threshold type: adapter creation, base model creation, routing selection, and health monitoring.</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6.5  Thresholds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Threshold Type</w:t>
            </w:r>
          </w:p>
        </w:tc>
        <w:tc>
          <w:tcPr>
            <w:tcW w:type="dxa" w:w="22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Condition</w:t>
            </w:r>
          </w:p>
        </w:tc>
        <w:tc>
          <w:tcPr>
            <w:tcW w:type="dxa" w:w="24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27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Parameterized By</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Adapter Creation</w:t>
            </w:r>
          </w:p>
        </w:tc>
        <w:tc>
          <w:tcPr>
            <w:tcW w:type="dxa" w:w="22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BLoB uncertainty high; all adapters uncertain on sub-domain</w:t>
            </w:r>
          </w:p>
        </w:tc>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Queue BLoB adapter creation</w:t>
            </w:r>
          </w:p>
        </w:tc>
        <w:tc>
          <w:tcPr>
            <w:tcW w:type="dxa" w:w="27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Centroid spread + BLoB percentiles + query complexity</w:t>
            </w:r>
          </w:p>
        </w:tc>
      </w:tr>
      <w:tr>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Base Model Creation</w:t>
            </w:r>
          </w:p>
        </w:tc>
        <w:tc>
          <w:tcPr>
            <w:tcW w:type="dxa" w:w="22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U_base across all experts; no expert adequate</w:t>
            </w:r>
          </w:p>
        </w:tc>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Initiate gap characterization + bootstrap check</w:t>
            </w:r>
          </w:p>
        </w:tc>
        <w:tc>
          <w:tcPr>
            <w:tcW w:type="dxa" w:w="27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Expert count in neighborhood + U_base distribution</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Base Model Update</w:t>
            </w:r>
          </w:p>
        </w:tc>
        <w:tc>
          <w:tcPr>
            <w:tcW w:type="dxa" w:w="22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Persistent in-domain uncertainty + adapter proliferation</w:t>
            </w:r>
          </w:p>
        </w:tc>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Schedule asynchronous base model update</w:t>
            </w:r>
          </w:p>
        </w:tc>
        <w:tc>
          <w:tcPr>
            <w:tcW w:type="dxa" w:w="27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Uncertainty trend + adapter creation rate</w:t>
            </w:r>
          </w:p>
        </w:tc>
      </w:tr>
      <w:tr>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Routing Selection</w:t>
            </w:r>
          </w:p>
        </w:tc>
        <w:tc>
          <w:tcPr>
            <w:tcW w:type="dxa" w:w="22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Select expert with U_base below this value from top-K</w:t>
            </w:r>
          </w:p>
        </w:tc>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Activate expert; if none qualify, trigger clarification or low-confidence response</w:t>
            </w:r>
          </w:p>
        </w:tc>
        <w:tc>
          <w:tcPr>
            <w:tcW w:type="dxa" w:w="27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Query complexity + candidate centroid spread</w:t>
            </w:r>
          </w:p>
        </w:tc>
      </w:tr>
      <w:tr>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Health Monitoring</w:t>
            </w:r>
          </w:p>
        </w:tc>
        <w:tc>
          <w:tcPr>
            <w:tcW w:type="dxa" w:w="22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Expert probe uncertainty rises above this level</w:t>
            </w:r>
          </w:p>
        </w:tc>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Deprioritize in routing; flag for retraining</w:t>
            </w:r>
          </w:p>
        </w:tc>
        <w:tc>
          <w:tcPr>
            <w:tcW w:type="dxa" w:w="27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Rolling uncertainty percentile for this domain</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7.  Geometric Router</w:t>
      </w:r>
    </w:p>
    <w:p>
      <w:pPr>
        <w:pStyle w:val="Heading2"/>
        <w:spacing w:before="320" w:after="120"/>
      </w:pPr>
      <w:r>
        <w:rPr>
          <w:rFonts w:ascii="Arial" w:cs="Arial" w:eastAsia="Arial" w:hAnsi="Arial"/>
          <w:b/>
          <w:bCs/>
          <w:color w:val="2E86AB"/>
          <w:sz w:val="28"/>
          <w:szCs w:val="28"/>
        </w:rPr>
        <w:t xml:space="preserve">7.1  Purpose and Role</w:t>
      </w:r>
    </w:p>
    <w:p>
      <w:pPr>
        <w:spacing w:before="60" w:after="100"/>
      </w:pPr>
      <w:r>
        <w:rPr>
          <w:rFonts w:ascii="Arial" w:cs="Arial" w:eastAsia="Arial" w:hAnsi="Arial"/>
          <w:color w:val="1C1C1C"/>
          <w:sz w:val="22"/>
          <w:szCs w:val="22"/>
        </w:rPr>
        <w:t xml:space="preserve">The geometric router selects which base expert and BLoB adapter to activate for a given query. It is not a trained neural network — it is a geometric lookup operation in the unified MRL embedding space. Because routing is parametric-free, adding new experts immediately makes them routable without router retraining.</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7.2  Routing Algorithm</w:t>
      </w:r>
    </w:p>
    <w:p>
      <w:pPr>
        <w:pStyle w:val="Heading3"/>
        <w:spacing w:before="240" w:after="80"/>
      </w:pPr>
      <w:r>
        <w:rPr>
          <w:rFonts w:ascii="Arial" w:cs="Arial" w:eastAsia="Arial" w:hAnsi="Arial"/>
          <w:b/>
          <w:bCs/>
          <w:color w:val="1B3A5C"/>
          <w:sz w:val="24"/>
          <w:szCs w:val="24"/>
        </w:rPr>
        <w:t xml:space="preserve">Step 1 — Aleatoric Pre-Screening and EASM Planning Pass</w:t>
      </w:r>
    </w:p>
    <w:p>
      <w:pPr>
        <w:spacing w:before="60" w:after="100"/>
      </w:pPr>
      <w:r>
        <w:rPr>
          <w:rFonts w:ascii="Arial" w:cs="Arial" w:eastAsia="Arial" w:hAnsi="Arial"/>
          <w:color w:val="1C1C1C"/>
          <w:sz w:val="22"/>
          <w:szCs w:val="22"/>
        </w:rPr>
        <w:t xml:space="preserve">Run the aleatoric pre-classifier on the incoming query. If flagged as high-aleatoric, route to best available expert with explicit ambiguity acknowledgment — no gap detection triggered. Otherwise, run the fast-path classifier to determine if the query is clearly single-expert. If single-expert with high confidence, skip the full EASM planning pass and embed the query directly. If multi-expert or uncertain, invoke the EASM planning adapter. The planning output provides domain labels for each sub-question and an integration structure.</w:t>
      </w:r>
    </w:p>
    <w:p>
      <w:pPr>
        <w:pStyle w:val="Heading3"/>
        <w:spacing w:before="240" w:after="80"/>
      </w:pPr>
      <w:r>
        <w:rPr>
          <w:rFonts w:ascii="Arial" w:cs="Arial" w:eastAsia="Arial" w:hAnsi="Arial"/>
          <w:b/>
          <w:bCs/>
          <w:color w:val="1B3A5C"/>
          <w:sz w:val="24"/>
          <w:szCs w:val="24"/>
        </w:rPr>
        <w:t xml:space="preserve">Step 2 — MRL Coarse Retrieval (64-dim)</w:t>
      </w:r>
    </w:p>
    <w:p>
      <w:pPr>
        <w:spacing w:before="60" w:after="100"/>
      </w:pPr>
      <w:r>
        <w:rPr>
          <w:rFonts w:ascii="Arial" w:cs="Arial" w:eastAsia="Arial" w:hAnsi="Arial"/>
          <w:color w:val="1C1C1C"/>
          <w:sz w:val="22"/>
          <w:szCs w:val="22"/>
        </w:rPr>
        <w:t xml:space="preserve">Embed each domain label from the EASM planning output (or the raw query for single-expert) using the 64-dimensional MRL prefix. Query the FAISS index over 64-dimensional expert centroid prefixes. Retrieve K_coarse = 20 candidates per domain label. Apply domain projection adapter to query embedding if registered for this neighborhood.</w:t>
      </w:r>
    </w:p>
    <w:p>
      <w:pPr>
        <w:pStyle w:val="Heading3"/>
        <w:spacing w:before="240" w:after="80"/>
      </w:pPr>
      <w:r>
        <w:rPr>
          <w:rFonts w:ascii="Arial" w:cs="Arial" w:eastAsia="Arial" w:hAnsi="Arial"/>
          <w:b/>
          <w:bCs/>
          <w:color w:val="1B3A5C"/>
          <w:sz w:val="24"/>
          <w:szCs w:val="24"/>
        </w:rPr>
        <w:t xml:space="preserve">Step 3 — MRL Fine Re-ranking (768-dim)</w:t>
      </w:r>
    </w:p>
    <w:p>
      <w:pPr>
        <w:spacing w:before="60" w:after="100"/>
      </w:pPr>
      <w:r>
        <w:rPr>
          <w:rFonts w:ascii="Arial" w:cs="Arial" w:eastAsia="Arial" w:hAnsi="Arial"/>
          <w:color w:val="1C1C1C"/>
          <w:sz w:val="22"/>
          <w:szCs w:val="22"/>
        </w:rPr>
        <w:t xml:space="preserve">Embed each domain label using the full 768-dimensional MRL embedding. Re-rank the 20 coarse candidates by full-dimensional cosine similarity to expert centroids. Retain K_fine = 5 experts per domain label for uncertainty evaluation.</w:t>
      </w:r>
    </w:p>
    <w:p>
      <w:pPr>
        <w:pStyle w:val="Heading3"/>
        <w:spacing w:before="240" w:after="80"/>
      </w:pPr>
      <w:r>
        <w:rPr>
          <w:rFonts w:ascii="Arial" w:cs="Arial" w:eastAsia="Arial" w:hAnsi="Arial"/>
          <w:b/>
          <w:bCs/>
          <w:color w:val="1B3A5C"/>
          <w:sz w:val="24"/>
          <w:szCs w:val="24"/>
        </w:rPr>
        <w:t xml:space="preserve">Step 4 — Base Expert Selection via U_base</w:t>
      </w:r>
    </w:p>
    <w:p>
      <w:pPr>
        <w:spacing w:before="60" w:after="100"/>
      </w:pPr>
      <w:r>
        <w:rPr>
          <w:rFonts w:ascii="Arial" w:cs="Arial" w:eastAsia="Arial" w:hAnsi="Arial"/>
          <w:color w:val="1C1C1C"/>
          <w:sz w:val="22"/>
          <w:szCs w:val="22"/>
        </w:rPr>
        <w:t xml:space="preserve">For each of the K_fine = 5 candidates per domain label, compute single-token TokUR fast approximation and Mahalanobis OOD distance. Compute U_base. Select the expert with the lowest U_base below θ_routing(domain).</w:t>
      </w:r>
    </w:p>
    <w:p>
      <w:pPr>
        <w:spacing w:before="60" w:after="100"/>
      </w:pPr>
      <w:r>
        <w:rPr>
          <w:rFonts w:ascii="Arial" w:cs="Arial" w:eastAsia="Arial" w:hAnsi="Arial"/>
          <w:color w:val="1C1C1C"/>
          <w:sz w:val="22"/>
          <w:szCs w:val="22"/>
        </w:rPr>
        <w:t xml:space="preserve">Clarification mechanism: if ALL K_fine candidates for any domain label exceed the routing threshold by more than 0.30, and the EASM planning output expressed low decomposition confidence, return a clarification request using the EASM's planning output to structure the clarification questions. This prevents the system from confidently guessing on queries where the planning itself was uncertain.</w:t>
      </w:r>
    </w:p>
    <w:p>
      <w:pPr>
        <w:pStyle w:val="Heading3"/>
        <w:spacing w:before="240" w:after="80"/>
      </w:pPr>
      <w:r>
        <w:rPr>
          <w:rFonts w:ascii="Arial" w:cs="Arial" w:eastAsia="Arial" w:hAnsi="Arial"/>
          <w:b/>
          <w:bCs/>
          <w:color w:val="1B3A5C"/>
          <w:sz w:val="24"/>
          <w:szCs w:val="24"/>
        </w:rPr>
        <w:t xml:space="preserve">Step 5 — BLoB Adapter Selection</w:t>
      </w:r>
    </w:p>
    <w:p>
      <w:pPr>
        <w:spacing w:before="60" w:after="100"/>
      </w:pPr>
      <w:r>
        <w:rPr>
          <w:rFonts w:ascii="Arial" w:cs="Arial" w:eastAsia="Arial" w:hAnsi="Arial"/>
          <w:color w:val="1C1C1C"/>
          <w:sz w:val="22"/>
          <w:szCs w:val="22"/>
        </w:rPr>
        <w:t xml:space="preserve">Within the selected base expert, retrieve top-M = 3 adapter candidates ranked by S_i = α·(1−d_centroid_i) + (1−α)·R_i. Compute BLoB uncertainty (or inflated Laplace uncertainty for bootstrapped adapters). Activate the adapter with the lowest uncertainty below θ_adapter(domain). If no adapter qualifies, activate base expert only and log sub-domain gap event.</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7.3  Budget-Constrained Multi-Expert Activation</w:t>
      </w:r>
    </w:p>
    <w:p>
      <w:pPr>
        <w:spacing w:before="60" w:after="100"/>
      </w:pPr>
      <w:r>
        <w:rPr>
          <w:rFonts w:ascii="Arial" w:cs="Arial" w:eastAsia="Arial" w:hAnsi="Arial"/>
          <w:color w:val="1C1C1C"/>
          <w:sz w:val="22"/>
          <w:szCs w:val="22"/>
        </w:rPr>
        <w:t xml:space="preserve">Maximum M_active = 3 experts may be activated per query. The EASM planning output's integration structure informs priority: sequential dependencies require the context-setting expert to be activated first; hierarchical structures activate the contextualizing expert and the most central sub-question's expert; parallel structures activate the M_active highest-centrality sub-questions. Peripheral sub-questions are passed as context labels to the EASM synthesis mode without activating separate experts.</w:t>
      </w:r>
    </w:p>
    <w:p>
      <w:pPr>
        <w:spacing w:before="60" w:after="100"/>
      </w:pPr>
      <w:r>
        <w:rPr>
          <w:rFonts w:ascii="Arial" w:cs="Arial" w:eastAsia="Arial" w:hAnsi="Arial"/>
          <w:color w:val="1C1C1C"/>
          <w:sz w:val="22"/>
          <w:szCs w:val="22"/>
        </w:rPr>
        <w:t xml:space="preserve">Concept overlap check: if two domain labels from the planning output have 768-dimensional cosine similarity above 0.80, they are merged before routing — these sub-questions are close enough that a single expert will handle both adequately. Merging is communicated back to the EASM synthesis pass.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7.4  EASM-Integrated Synthesis (Replaces Three-Tier Synthesis)</w:t>
      </w:r>
    </w:p>
    <w:p>
      <w:pPr>
        <w:spacing w:before="60" w:after="100"/>
      </w:pPr>
      <w:r>
        <w:rPr>
          <w:rFonts w:ascii="Arial" w:cs="Arial" w:eastAsia="Arial" w:hAnsi="Arial"/>
          <w:color w:val="1C1C1C"/>
          <w:sz w:val="22"/>
          <w:szCs w:val="22"/>
        </w:rPr>
        <w:t xml:space="preserve">For multi-expert queries, after expert activation and routing deduplication, the EASM synthesis adapter is invoked with:</w:t>
      </w:r>
    </w:p>
    <w:p>
      <w:pPr>
        <w:pStyle w:val="ListParagraph"/>
        <w:numPr>
          <w:ilvl w:val="0"/>
          <w:numId w:val="2"/>
        </w:numPr>
        <w:spacing w:before="40" w:after="40"/>
      </w:pPr>
      <w:r>
        <w:rPr>
          <w:rFonts w:ascii="Arial" w:cs="Arial" w:eastAsia="Arial" w:hAnsi="Arial"/>
          <w:color w:val="1C1C1C"/>
          <w:sz w:val="21"/>
          <w:szCs w:val="21"/>
        </w:rPr>
        <w:t xml:space="preserve">The EASM planning output including sub-questions, integration structure, and domain labels.</w:t>
      </w:r>
    </w:p>
    <w:p>
      <w:pPr>
        <w:pStyle w:val="ListParagraph"/>
        <w:numPr>
          <w:ilvl w:val="0"/>
          <w:numId w:val="2"/>
        </w:numPr>
        <w:spacing w:before="40" w:after="40"/>
      </w:pPr>
      <w:r>
        <w:rPr>
          <w:rFonts w:ascii="Arial" w:cs="Arial" w:eastAsia="Arial" w:hAnsi="Arial"/>
          <w:color w:val="1C1C1C"/>
          <w:sz w:val="21"/>
          <w:szCs w:val="21"/>
        </w:rPr>
        <w:t xml:space="preserve">The ordered (concept, expert_output, BLoB_confidence) triples from activated experts.</w:t>
      </w:r>
    </w:p>
    <w:p>
      <w:pPr>
        <w:pStyle w:val="ListParagraph"/>
        <w:numPr>
          <w:ilvl w:val="0"/>
          <w:numId w:val="2"/>
        </w:numPr>
        <w:spacing w:before="40" w:after="40"/>
      </w:pPr>
      <w:r>
        <w:rPr>
          <w:rFonts w:ascii="Arial" w:cs="Arial" w:eastAsia="Arial" w:hAnsi="Arial"/>
          <w:color w:val="1C1C1C"/>
          <w:sz w:val="21"/>
          <w:szCs w:val="21"/>
        </w:rPr>
        <w:t xml:space="preserve">Retrieved thought templates from the synthesis template library (top-3 by query similarity via FAISS lookup).</w:t>
      </w:r>
    </w:p>
    <w:p>
      <w:pPr>
        <w:pStyle w:val="ListParagraph"/>
        <w:numPr>
          <w:ilvl w:val="0"/>
          <w:numId w:val="2"/>
        </w:numPr>
        <w:spacing w:before="40" w:after="40"/>
      </w:pPr>
      <w:r>
        <w:rPr>
          <w:rFonts w:ascii="Arial" w:cs="Arial" w:eastAsia="Arial" w:hAnsi="Arial"/>
          <w:color w:val="1C1C1C"/>
          <w:sz w:val="21"/>
          <w:szCs w:val="21"/>
        </w:rPr>
        <w:t xml:space="preserve">Any merged or dropped sub-questions passed as context without separate expert outputs.</w:t>
      </w:r>
    </w:p>
    <w:p>
      <w:pPr>
        <w:spacing w:before="60" w:after="100"/>
      </w:pPr>
      <w:r>
        <w:rPr>
          <w:rFonts w:ascii="Arial" w:cs="Arial" w:eastAsia="Arial" w:hAnsi="Arial"/>
          <w:color w:val="1C1C1C"/>
          <w:sz w:val="22"/>
          <w:szCs w:val="22"/>
        </w:rPr>
        <w:t xml:space="preserve">The EASM synthesis adapter produces the integrated response with per-claim source attribution, uncertainty hedging calibrated to BLoB confidence scores, and explicit flagging of any integration claims that are EASM inferences rather than expert-sourced facts. Synthesis-level TokUR monitors integration uncertainty. The dual-source traceability check filters the output before delivery.</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7.5  Fast-Path Routing Cache</w:t>
      </w:r>
    </w:p>
    <w:p>
      <w:pPr>
        <w:spacing w:before="60" w:after="100"/>
      </w:pPr>
      <w:r>
        <w:rPr>
          <w:rFonts w:ascii="Arial" w:cs="Arial" w:eastAsia="Arial" w:hAnsi="Arial"/>
          <w:color w:val="1C1C1C"/>
          <w:sz w:val="22"/>
          <w:szCs w:val="22"/>
        </w:rPr>
        <w:t xml:space="preserve">Queries whose embeddings fall within epsilon of a previously routed query in the FAISS index use a fast path bypassing the full routing algorithm. Cache uses LRU eviction and is invalidated when any expert in the selected set is updated. Reduces median routing latency by approximately 60–70% for repeated or near-repeated query types.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7.6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7.A — Routing Errors at Domain Boundaries</w:t>
            </w:r>
          </w:p>
          <w:p>
            <w:pPr>
              <w:spacing w:before="60" w:after="100"/>
            </w:pPr>
            <w:r>
              <w:rPr>
                <w:rFonts w:ascii="Arial" w:cs="Arial" w:eastAsia="Arial" w:hAnsi="Arial"/>
                <w:color w:val="1C1C1C"/>
                <w:sz w:val="22"/>
                <w:szCs w:val="22"/>
              </w:rPr>
              <w:t xml:space="preserve">Queries at the boundary between two expert domains may be routed suboptimally. The EASM planning pass helps by providing more precise domain labels than raw concept vectors, but does not eliminate boundary ambiguity.</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Uncertainty-based tie-breaking. Routing error log clusters boundary-region errors for bridging expert creation. Clarification mechanism for cases where planning confidence is low and uncertainty is high.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Limitation 7.B — Expert Utilization Imbalance</w:t>
            </w:r>
          </w:p>
          <w:p>
            <w:pPr>
              <w:spacing w:before="60" w:after="100"/>
            </w:pPr>
            <w:r>
              <w:rPr>
                <w:rFonts w:ascii="Arial" w:cs="Arial" w:eastAsia="Arial" w:hAnsi="Arial"/>
                <w:color w:val="1C1C1C"/>
                <w:sz w:val="22"/>
                <w:szCs w:val="22"/>
              </w:rPr>
              <w:t xml:space="preserve">Routing naturally favors experts with lower uncertainty on most queries.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Utilization monitoring with domain-aware auditing. Low utilization in a domain with known incoming queries triggers a routing diagnosis: centroid drift check, coarse/fine recall check, and competing expert check. Each diagnosis leads to specific remediation.</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8.  Expert Creation Pipeline</w:t>
      </w:r>
    </w:p>
    <w:p>
      <w:pPr>
        <w:pStyle w:val="Heading2"/>
        <w:spacing w:before="320" w:after="120"/>
      </w:pPr>
      <w:r>
        <w:rPr>
          <w:rFonts w:ascii="Arial" w:cs="Arial" w:eastAsia="Arial" w:hAnsi="Arial"/>
          <w:b/>
          <w:bCs/>
          <w:color w:val="2E86AB"/>
          <w:sz w:val="28"/>
          <w:szCs w:val="28"/>
        </w:rPr>
        <w:t xml:space="preserve">8.1  Purpose and Role</w:t>
      </w:r>
    </w:p>
    <w:p>
      <w:pPr>
        <w:spacing w:before="60" w:after="100"/>
      </w:pPr>
      <w:r>
        <w:rPr>
          <w:rFonts w:ascii="Arial" w:cs="Arial" w:eastAsia="Arial" w:hAnsi="Arial"/>
          <w:color w:val="1C1C1C"/>
          <w:sz w:val="22"/>
          <w:szCs w:val="22"/>
        </w:rPr>
        <w:t xml:space="preserve">The expert creation pipeline autonomously closes knowledge gaps by creating new domain experts and sub-domain adapters. It now first queries the bootstrap registry, substantially reducing training requirements for common domains. On successful creation, the synthesis model is notified for alignment fine-tuning.</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8.2  Gap Characterization Phase</w:t>
      </w:r>
    </w:p>
    <w:p>
      <w:pPr>
        <w:pStyle w:val="ListParagraph"/>
        <w:numPr>
          <w:ilvl w:val="0"/>
          <w:numId w:val="2"/>
        </w:numPr>
        <w:spacing w:before="40" w:after="40"/>
      </w:pPr>
      <w:r>
        <w:rPr>
          <w:rFonts w:ascii="Arial" w:cs="Arial" w:eastAsia="Arial" w:hAnsi="Arial"/>
          <w:b/>
          <w:bCs/>
          <w:color w:val="1B3A5C"/>
          <w:sz w:val="21"/>
          <w:szCs w:val="21"/>
        </w:rPr>
        <w:t xml:space="preserve">Concept decomposition: </w:t>
      </w:r>
      <w:r>
        <w:rPr>
          <w:rFonts w:ascii="Arial" w:cs="Arial" w:eastAsia="Arial" w:hAnsi="Arial"/>
          <w:color w:val="1C1C1C"/>
          <w:sz w:val="21"/>
          <w:szCs w:val="21"/>
        </w:rPr>
        <w:t xml:space="preserve">Break the uncertain query into constituent concepts using the EASM planning adapter. Identify which specific concepts are uncertain.</w:t>
      </w:r>
    </w:p>
    <w:p>
      <w:pPr>
        <w:pStyle w:val="ListParagraph"/>
        <w:numPr>
          <w:ilvl w:val="0"/>
          <w:numId w:val="2"/>
        </w:numPr>
        <w:spacing w:before="40" w:after="40"/>
      </w:pPr>
      <w:r>
        <w:rPr>
          <w:rFonts w:ascii="Arial" w:cs="Arial" w:eastAsia="Arial" w:hAnsi="Arial"/>
          <w:b/>
          <w:bCs/>
          <w:color w:val="1B3A5C"/>
          <w:sz w:val="21"/>
          <w:szCs w:val="21"/>
        </w:rPr>
        <w:t xml:space="preserve">Gap extent estimation: </w:t>
      </w:r>
      <w:r>
        <w:rPr>
          <w:rFonts w:ascii="Arial" w:cs="Arial" w:eastAsia="Arial" w:hAnsi="Arial"/>
          <w:color w:val="1C1C1C"/>
          <w:sz w:val="21"/>
          <w:szCs w:val="21"/>
        </w:rPr>
        <w:t xml:space="preserve">Count logged uncertain queries within a threshold radius of the gap centroid over a 30-day window. Small count = adapter-level response. Large count = base model-level response.</w:t>
      </w:r>
    </w:p>
    <w:p>
      <w:pPr>
        <w:pStyle w:val="ListParagraph"/>
        <w:numPr>
          <w:ilvl w:val="0"/>
          <w:numId w:val="2"/>
        </w:numPr>
        <w:spacing w:before="40" w:after="40"/>
      </w:pPr>
      <w:r>
        <w:rPr>
          <w:rFonts w:ascii="Arial" w:cs="Arial" w:eastAsia="Arial" w:hAnsi="Arial"/>
          <w:b/>
          <w:bCs/>
          <w:color w:val="1B3A5C"/>
          <w:sz w:val="21"/>
          <w:szCs w:val="21"/>
        </w:rPr>
        <w:t xml:space="preserve">Coverage analysis: </w:t>
      </w:r>
      <w:r>
        <w:rPr>
          <w:rFonts w:ascii="Arial" w:cs="Arial" w:eastAsia="Arial" w:hAnsi="Arial"/>
          <w:color w:val="1C1C1C"/>
          <w:sz w:val="21"/>
          <w:szCs w:val="21"/>
        </w:rPr>
        <w:t xml:space="preserve">Check whether any existing expert is within cosine distance 0.30. If so, sub-domain gap. If not, query bootstrap registry before declaring a new domain gap.</w:t>
      </w:r>
    </w:p>
    <w:p>
      <w:pPr>
        <w:pStyle w:val="ListParagraph"/>
        <w:numPr>
          <w:ilvl w:val="0"/>
          <w:numId w:val="2"/>
        </w:numPr>
        <w:spacing w:before="40" w:after="40"/>
      </w:pPr>
      <w:r>
        <w:rPr>
          <w:rFonts w:ascii="Arial" w:cs="Arial" w:eastAsia="Arial" w:hAnsi="Arial"/>
          <w:b/>
          <w:bCs/>
          <w:color w:val="1B3A5C"/>
          <w:sz w:val="21"/>
          <w:szCs w:val="21"/>
        </w:rPr>
        <w:t xml:space="preserve">Data availability estimate: </w:t>
      </w:r>
      <w:r>
        <w:rPr>
          <w:rFonts w:ascii="Arial" w:cs="Arial" w:eastAsia="Arial" w:hAnsi="Arial"/>
          <w:color w:val="1C1C1C"/>
          <w:sz w:val="21"/>
          <w:szCs w:val="21"/>
        </w:rPr>
        <w:t xml:space="preserve">Query the data lake for documents within adaptive corpus radius. Estimate available tokens. Flag for extended collection if below tier minimum.</w:t>
      </w:r>
    </w:p>
    <w:p>
      <w:pPr>
        <w:pStyle w:val="ListParagraph"/>
        <w:numPr>
          <w:ilvl w:val="0"/>
          <w:numId w:val="2"/>
        </w:numPr>
        <w:spacing w:before="40" w:after="40"/>
      </w:pPr>
      <w:r>
        <w:rPr>
          <w:rFonts w:ascii="Arial" w:cs="Arial" w:eastAsia="Arial" w:hAnsi="Arial"/>
          <w:b/>
          <w:bCs/>
          <w:color w:val="1B3A5C"/>
          <w:sz w:val="21"/>
          <w:szCs w:val="21"/>
        </w:rPr>
        <w:t xml:space="preserve">Minimum evidence gate: </w:t>
      </w:r>
      <w:r>
        <w:rPr>
          <w:rFonts w:ascii="Arial" w:cs="Arial" w:eastAsia="Arial" w:hAnsi="Arial"/>
          <w:color w:val="1C1C1C"/>
          <w:sz w:val="21"/>
          <w:szCs w:val="21"/>
        </w:rPr>
        <w:t xml:space="preserve">Adapter creation: ≥3 uncertain queries in 30 days. Base model creation: ≥10 uncertain queries in 30 days AND sufficient data.</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8.3  Creation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Creation Decision Tree</w:t>
            </w:r>
          </w:p>
          <w:p>
            <w:pPr>
              <w:spacing w:before="60" w:after="100"/>
            </w:pPr>
            <w:r>
              <w:rPr>
                <w:rFonts w:ascii="Arial" w:cs="Arial" w:eastAsia="Arial" w:hAnsi="Arial"/>
                <w:color w:val="1C1C1C"/>
                <w:sz w:val="22"/>
                <w:szCs w:val="22"/>
              </w:rPr>
              <w:t xml:space="preserve">IF sub-domain gap (covering expert exists AND gap extent small):</w:t>
            </w:r>
          </w:p>
          <w:p>
            <w:pPr>
              <w:pStyle w:val="ListParagraph"/>
              <w:numPr>
                <w:ilvl w:val="0"/>
                <w:numId w:val="2"/>
              </w:numPr>
              <w:spacing w:before="40" w:after="40"/>
            </w:pPr>
            <w:r>
              <w:rPr>
                <w:rFonts w:ascii="Arial" w:cs="Arial" w:eastAsia="Arial" w:hAnsi="Arial"/>
                <w:color w:val="1C1C1C"/>
                <w:sz w:val="21"/>
                <w:szCs w:val="21"/>
              </w:rPr>
              <w:t xml:space="preserve">Two-NN rank determination. Standard LoRA training to MAP. BLoB fine-tuning with MAP initialization and cyclical KL. Register. Notify EASM for alignment fine-tune on new adapter's sub-domain.</w:t>
            </w:r>
          </w:p>
          <w:p>
            <w:pPr>
              <w:spacing w:before="0" w:after="40"/>
            </w:pPr>
            <w:r>
              <w:t xml:space="preserve"/>
            </w:r>
          </w:p>
          <w:p>
            <w:pPr>
              <w:spacing w:before="60" w:after="100"/>
            </w:pPr>
            <w:r>
              <w:rPr>
                <w:rFonts w:ascii="Arial" w:cs="Arial" w:eastAsia="Arial" w:hAnsi="Arial"/>
                <w:color w:val="1C1C1C"/>
                <w:sz w:val="22"/>
                <w:szCs w:val="22"/>
              </w:rPr>
              <w:t xml:space="preserve">IF domain-level gap:</w:t>
            </w:r>
          </w:p>
          <w:p>
            <w:pPr>
              <w:pStyle w:val="ListParagraph"/>
              <w:numPr>
                <w:ilvl w:val="0"/>
                <w:numId w:val="2"/>
              </w:numPr>
              <w:spacing w:before="40" w:after="40"/>
            </w:pPr>
            <w:r>
              <w:rPr>
                <w:rFonts w:ascii="Arial" w:cs="Arial" w:eastAsia="Arial" w:hAnsi="Arial"/>
                <w:color w:val="1C1C1C"/>
                <w:sz w:val="21"/>
                <w:szCs w:val="21"/>
              </w:rPr>
              <w:t xml:space="preserve">Query bootstrap registry. If match within 0.20: register directly, skip training. If match within 0.30: Phase-2 fine-tuning only. If no match: full two-phase training with TIES initialization.</w:t>
            </w:r>
          </w:p>
          <w:p>
            <w:pPr>
              <w:pStyle w:val="ListParagraph"/>
              <w:numPr>
                <w:ilvl w:val="0"/>
                <w:numId w:val="2"/>
              </w:numPr>
              <w:spacing w:before="40" w:after="40"/>
            </w:pPr>
            <w:r>
              <w:rPr>
                <w:rFonts w:ascii="Arial" w:cs="Arial" w:eastAsia="Arial" w:hAnsi="Arial"/>
                <w:color w:val="1C1C1C"/>
                <w:sz w:val="21"/>
                <w:szCs w:val="21"/>
              </w:rPr>
              <w:t xml:space="preserve">Register base expert. Queue BLoB adapter creation for common sub-domains. Notify EASM for alignment fine-tune on new expert's domain.</w:t>
            </w:r>
          </w:p>
          <w:p>
            <w:pPr>
              <w:spacing w:before="0" w:after="40"/>
            </w:pPr>
            <w:r>
              <w:t xml:space="preserve"/>
            </w:r>
          </w:p>
          <w:p>
            <w:pPr>
              <w:spacing w:before="60" w:after="100"/>
            </w:pPr>
            <w:r>
              <w:rPr>
                <w:rFonts w:ascii="Arial" w:cs="Arial" w:eastAsia="Arial" w:hAnsi="Arial"/>
                <w:color w:val="1C1C1C"/>
                <w:sz w:val="22"/>
                <w:szCs w:val="22"/>
              </w:rPr>
              <w:t xml:space="preserve">IF insufficient data for domain-level gap:</w:t>
            </w:r>
          </w:p>
          <w:p>
            <w:pPr>
              <w:pStyle w:val="ListParagraph"/>
              <w:numPr>
                <w:ilvl w:val="0"/>
                <w:numId w:val="2"/>
              </w:numPr>
              <w:spacing w:before="40" w:after="40"/>
            </w:pPr>
            <w:r>
              <w:rPr>
                <w:rFonts w:ascii="Arial" w:cs="Arial" w:eastAsia="Arial" w:hAnsi="Arial"/>
                <w:color w:val="1C1C1C"/>
                <w:sz w:val="21"/>
                <w:szCs w:val="21"/>
              </w:rPr>
              <w:t xml:space="preserve">Extended data collection mode. Route gap queries to nearest expert with uncertainty flag. Re-evaluate weekly.</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8.4  Synthetic Data Generation Protocol</w:t>
      </w:r>
    </w:p>
    <w:p>
      <w:pPr>
        <w:spacing w:before="60" w:after="100"/>
      </w:pPr>
      <w:r>
        <w:rPr>
          <w:rFonts w:ascii="Arial" w:cs="Arial" w:eastAsia="Arial" w:hAnsi="Arial"/>
          <w:color w:val="1C1C1C"/>
          <w:sz w:val="22"/>
          <w:szCs w:val="22"/>
        </w:rPr>
        <w:t xml:space="preserve">General-purpose frontier model for all synthetic data generation — never DEMoE experts, which would speculate at their competence boundary. Volume limits: 30% for base models, 40% for adapters. Quality filtering: cross-encoder consistency with real documents, coherence perplexity filter, structured knowledge base validation for high-stakes domains. Synthetic data used primarily in Phase 1 for structural representation learning; real data dominates Phase 2 uncertainty refinement.</w:t>
      </w:r>
    </w:p>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9.  Dynamic Learning Protocol</w:t>
      </w:r>
    </w:p>
    <w:p>
      <w:pPr>
        <w:pStyle w:val="Heading2"/>
        <w:spacing w:before="320" w:after="120"/>
      </w:pPr>
      <w:r>
        <w:rPr>
          <w:rFonts w:ascii="Arial" w:cs="Arial" w:eastAsia="Arial" w:hAnsi="Arial"/>
          <w:b/>
          <w:bCs/>
          <w:color w:val="2E86AB"/>
          <w:sz w:val="28"/>
          <w:szCs w:val="28"/>
        </w:rPr>
        <w:t xml:space="preserve">9.1  Four Learning Timescales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Timescale</w:t>
            </w:r>
          </w:p>
        </w:tc>
        <w:tc>
          <w:tcPr>
            <w:tcW w:type="dxa" w:w="2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Frequency</w:t>
            </w:r>
          </w:p>
        </w:tc>
        <w:tc>
          <w:tcPr>
            <w:tcW w:type="dxa" w:w="26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 Updated</w:t>
            </w:r>
          </w:p>
        </w:tc>
        <w:tc>
          <w:tcPr>
            <w:tcW w:type="dxa" w:w="29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Mechanism</w:t>
            </w:r>
          </w:p>
        </w:tc>
      </w:tr>
      <w:tr>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Fast (continuous)</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Per-batch</w:t>
            </w:r>
          </w:p>
        </w:tc>
        <w:tc>
          <w:tcPr>
            <w:tcW w:type="dxa" w:w="26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BLoB adapter weights; streaming centroids + covariances</w:t>
            </w:r>
          </w:p>
        </w:tc>
        <w:tc>
          <w:tcPr>
            <w:tcW w:type="dxa" w:w="2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Online variational ELBO updates; exponential moving average centroid</w:t>
            </w:r>
          </w:p>
        </w:tc>
      </w:tr>
      <w:tr>
        <w:tc>
          <w:tcPr>
            <w:tcW w:type="dxa" w:w="18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Medium (weekly / threshold)</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Weekly or triggered</w:t>
            </w:r>
          </w:p>
        </w:tc>
        <w:tc>
          <w:tcPr>
            <w:tcW w:type="dxa" w:w="26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Base expert weights; EASM synthesis adapter</w:t>
            </w:r>
          </w:p>
        </w:tc>
        <w:tc>
          <w:tcPr>
            <w:tcW w:type="dxa" w:w="2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EWC with online K-FAC Fisher; experience replay; EASM LoRA fine-tune on new expert registration</w:t>
            </w:r>
          </w:p>
        </w:tc>
      </w:tr>
      <w:tr>
        <w:tc>
          <w:tcPr>
            <w:tcW w:type="dxa" w:w="18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Slow (quarterly)</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Quarterly</w:t>
            </w:r>
          </w:p>
        </w:tc>
        <w:tc>
          <w:tcPr>
            <w:tcW w:type="dxa" w:w="26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EASM planning adapter; bootstrap registry</w:t>
            </w:r>
          </w:p>
        </w:tc>
        <w:tc>
          <w:tcPr>
            <w:tcW w:type="dxa" w:w="2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Retrospective decomposition retraining; automated scan for new open-source domain models</w:t>
            </w:r>
          </w:p>
        </w:tc>
      </w:tr>
      <w:tr>
        <w:tc>
          <w:tcPr>
            <w:tcW w:type="dxa" w:w="18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On-demand (routing degradation)</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 triggered</w:t>
            </w:r>
          </w:p>
        </w:tc>
        <w:tc>
          <w:tcPr>
            <w:tcW w:type="dxa" w:w="26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Domain projection adapters</w:t>
            </w:r>
          </w:p>
        </w:tc>
        <w:tc>
          <w:tcPr>
            <w:tcW w:type="dxa" w:w="2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InfoNCE contrastive fine-tuning on routing error pairs — replaces global encoder update</w:t>
            </w:r>
          </w:p>
        </w:tc>
      </w:tr>
    </w:tbl>
    <w:p>
      <w:pPr>
        <w:spacing w:before="0" w:after="80"/>
      </w:pPr>
      <w:r>
        <w:t xml:space="preserve"/>
      </w:r>
    </w:p>
    <w:p>
      <w:pPr>
        <w:pStyle w:val="Heading2"/>
        <w:spacing w:before="320" w:after="120"/>
      </w:pPr>
      <w:r>
        <w:rPr>
          <w:rFonts w:ascii="Arial" w:cs="Arial" w:eastAsia="Arial" w:hAnsi="Arial"/>
          <w:b/>
          <w:bCs/>
          <w:color w:val="2E86AB"/>
          <w:sz w:val="28"/>
          <w:szCs w:val="28"/>
        </w:rPr>
        <w:t xml:space="preserve">9.2  Fast-Timescale: BLoB Adapter Updates</w:t>
      </w:r>
    </w:p>
    <w:p>
      <w:pPr>
        <w:spacing w:before="60" w:after="100"/>
      </w:pPr>
      <w:r>
        <w:rPr>
          <w:rFonts w:ascii="Arial" w:cs="Arial" w:eastAsia="Arial" w:hAnsi="Arial"/>
          <w:color w:val="1C1C1C"/>
          <w:sz w:val="22"/>
          <w:szCs w:val="22"/>
        </w:rPr>
        <w:t xml:space="preserve">BLoB adapters update continuously via online variational Bayes on streaming queries below quality and uncertainty thresholds. The structured variational approximation (Section 4.2 Improvement 3) is updated alongside the diagonal parameters: the low-rank V matrix receives gradient updates from each training batch. Streaming centroid and diagonal covariance matrix are updated incrementally after every new training document.</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9.3  Medium-Timescale: Base Expert Updates and Tractable EWC</w:t>
      </w:r>
    </w:p>
    <w:p>
      <w:pPr>
        <w:spacing w:before="60" w:after="100"/>
      </w:pPr>
      <w:r>
        <w:rPr>
          <w:rFonts w:ascii="Arial" w:cs="Arial" w:eastAsia="Arial" w:hAnsi="Arial"/>
          <w:color w:val="1C1C1C"/>
          <w:sz w:val="22"/>
          <w:szCs w:val="22"/>
        </w:rPr>
        <w:t xml:space="preserve">Base expert updates are triggered by: health probe uncertainty rising above monitoring threshold; significant new training data accumulation; or adapter proliferation signal. All updates use EWC with online Kronecker-factored Fisher estimation.</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Online Kronecker-Factored Fisher — Tractability</w:t>
            </w:r>
          </w:p>
          <w:p>
            <w:pPr>
              <w:spacing w:before="60" w:after="100"/>
            </w:pPr>
            <w:r>
              <w:rPr>
                <w:rFonts w:ascii="Arial" w:cs="Arial" w:eastAsia="Arial" w:hAnsi="Arial"/>
                <w:color w:val="1C1C1C"/>
                <w:sz w:val="22"/>
                <w:szCs w:val="22"/>
              </w:rPr>
              <w:t xml:space="preserve">The full Fisher information matrix for a large base model is intractable to compute or store. K-FAC decomposes the Fisher for each layer into a Kronecker product of two small matrices:</w:t>
            </w:r>
          </w:p>
          <w:p>
            <w:pPr>
              <w:spacing w:before="80" w:after="80"/>
              <w:jc w:val="center"/>
            </w:pPr>
            <w:r>
              <w:rPr>
                <w:rFonts w:ascii="Courier New" w:cs="Courier New" w:eastAsia="Courier New" w:hAnsi="Courier New"/>
                <w:b/>
                <w:bCs/>
                <w:color w:val="1B3A5C"/>
                <w:sz w:val="22"/>
                <w:szCs w:val="22"/>
              </w:rPr>
              <w:t xml:space="preserve">F_layer  ≈  A_layer ⊗ G_layer</w:t>
            </w:r>
          </w:p>
          <w:p>
            <w:pPr>
              <w:spacing w:before="60" w:after="100"/>
            </w:pPr>
            <w:r>
              <w:rPr>
                <w:rFonts w:ascii="Arial" w:cs="Arial" w:eastAsia="Arial" w:hAnsi="Arial"/>
                <w:color w:val="1C1C1C"/>
                <w:sz w:val="22"/>
                <w:szCs w:val="22"/>
              </w:rPr>
              <w:t xml:space="preserve">where A_layer ∈ R^(d_in × d_in) is the input activation covariance and G_layer ∈ R^(d_out × d_out) is the gradient covariance. The online variant updates A_layer and G_layer incrementally using exponential moving averages, avoiding full recomputation before every update. K-FAC factors are reset before each base model update to ensure Fisher accuracy (rather than accumulating over many updates which degrades approximation quality).</w:t>
            </w:r>
          </w:p>
          <w:p>
            <w:pPr>
              <w:spacing w:before="60" w:after="100"/>
            </w:pPr>
            <w:r>
              <w:rPr>
                <w:rFonts w:ascii="Arial" w:cs="Arial" w:eastAsia="Arial" w:hAnsi="Arial"/>
                <w:color w:val="1C1C1C"/>
                <w:sz w:val="22"/>
                <w:szCs w:val="22"/>
              </w:rPr>
              <w:t xml:space="preserve">EWC regularization loss: L_total = L_task + λ · Σ_layer [ (A_layer ⊗ G_layer) ☉ (θ_layer − θ*_layer)² ], where the Kronecker product is applied via efficient matrix-vector products rather than explicit formation.</w:t>
            </w:r>
          </w:p>
        </w:tc>
      </w:tr>
    </w:tbl>
    <w:p>
      <w:pPr>
        <w:spacing w:before="0" w:after="40"/>
      </w:pPr>
      <w:r>
        <w:t xml:space="preserve"/>
      </w:r>
    </w:p>
    <w:p>
      <w:pPr>
        <w:spacing w:before="60" w:after="100"/>
      </w:pPr>
      <w:r>
        <w:rPr>
          <w:rFonts w:ascii="Arial" w:cs="Arial" w:eastAsia="Arial" w:hAnsi="Arial"/>
          <w:color w:val="1C1C1C"/>
          <w:sz w:val="22"/>
          <w:szCs w:val="22"/>
        </w:rPr>
        <w:t xml:space="preserve">After each base expert update: singular vector pre-screening across all associated BLoB adapters (Section 4.6 Use 2). Flagged adapters undergo full BLoB compatibility testing. Failed adapters: run old base+adapter on synthetic query set to record target outputs, train new BLoB adapter on updated base to reproduce outputs (distillation-based recovery). Tiered testing: Tier 1 (top 20% utilization) — full BLoB validation; Tier 2 — sampled validation; Tier 3 — singular vector pre-screening only.</w:t>
      </w:r>
    </w:p>
    <w:p>
      <w:pPr>
        <w:spacing w:before="60" w:after="100"/>
      </w:pPr>
      <w:r>
        <w:rPr>
          <w:rFonts w:ascii="Arial" w:cs="Arial" w:eastAsia="Arial" w:hAnsi="Arial"/>
          <w:color w:val="1C1C1C"/>
          <w:sz w:val="22"/>
          <w:szCs w:val="22"/>
        </w:rPr>
        <w:t xml:space="preserve">On new expert registration: EASM synthesis adapter fine-tuning triggered immediately using the alignment probe set procedure (Section 5.6). This runs asynchronously from expert registration — the new expert is available for routing immediately; synthesis quality for multi-expert queries involving the new expert is in attribution mode until the alignment fine-tune completes.</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9.4  Slow-Timescale: EASM Planning Adapter and Bootstrap Registry</w:t>
      </w:r>
    </w:p>
    <w:p>
      <w:pPr>
        <w:spacing w:before="60" w:after="100"/>
      </w:pPr>
      <w:r>
        <w:rPr>
          <w:rFonts w:ascii="Arial" w:cs="Arial" w:eastAsia="Arial" w:hAnsi="Arial"/>
          <w:color w:val="1C1C1C"/>
          <w:sz w:val="22"/>
          <w:szCs w:val="22"/>
        </w:rPr>
        <w:t xml:space="preserve">The EASM planning adapter is retrained quarterly on accumulated retrospective decompositions — real multi-expert routing decisions that have been validated as correct through synthesis quality signals. The bootstrap registry is scanned quarterly for new open-source domain model releases, evaluated against quality benchmarks, and updated with new additions that pass the quality threshold and license compatibility check.</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9.5  On-Demand: Domain Projection Adapter Updates</w:t>
      </w:r>
    </w:p>
    <w:p>
      <w:pPr>
        <w:spacing w:before="60" w:after="100"/>
      </w:pPr>
      <w:r>
        <w:rPr>
          <w:rFonts w:ascii="Arial" w:cs="Arial" w:eastAsia="Arial" w:hAnsi="Arial"/>
          <w:color w:val="1C1C1C"/>
          <w:sz w:val="22"/>
          <w:szCs w:val="22"/>
        </w:rPr>
        <w:t xml:space="preserve">Domain projection adapters are created or updated when routing coherence for a domain falls below 0.70 for more than 3 consecutive days. Training uses InfoNCE contrastive loss on (query, relevant document, irrelevant document) triplets drawn from the problematic domain's routing error log. Only affected domain centroid entries in FAISS are updated — no global index rebuild required.</w:t>
      </w:r>
    </w:p>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10.  Fatal Failure Mode Audit</w:t>
      </w:r>
    </w:p>
    <w:p>
      <w:pPr>
        <w:spacing w:before="60" w:after="100"/>
      </w:pPr>
      <w:r>
        <w:rPr>
          <w:rFonts w:ascii="Arial" w:cs="Arial" w:eastAsia="Arial" w:hAnsi="Arial"/>
          <w:color w:val="1C1C1C"/>
          <w:sz w:val="22"/>
          <w:szCs w:val="22"/>
        </w:rPr>
        <w:t xml:space="preserve">This section identifies failure modes that could cause the system to behave incorrectly or catastrophically. Each is classified as mitigated, partially mitigated, or an open problem. Cross-expert semantic alignment, which was an open problem in v3.0, is now mitigated by the EASM.</w:t>
      </w:r>
    </w:p>
    <w:p>
      <w:pPr>
        <w:spacing w:before="0" w:after="60"/>
      </w:pPr>
      <w:r>
        <w:t xml:space="preserve"/>
      </w:r>
    </w:p>
    <w:p>
      <w:pPr>
        <w:pStyle w:val="Heading2"/>
        <w:spacing w:before="320" w:after="120"/>
      </w:pPr>
      <w:r>
        <w:rPr>
          <w:rFonts w:ascii="Arial" w:cs="Arial" w:eastAsia="Arial" w:hAnsi="Arial"/>
          <w:b/>
          <w:bCs/>
          <w:color w:val="2E86AB"/>
          <w:sz w:val="28"/>
          <w:szCs w:val="28"/>
        </w:rPr>
        <w:t xml:space="preserve">10.1  Training-Time Fatal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T1 — Bootstrap Model Poisoning</w:t>
            </w:r>
          </w:p>
          <w:p>
            <w:pPr>
              <w:spacing w:before="60" w:after="100"/>
            </w:pPr>
            <w:r>
              <w:rPr>
                <w:rFonts w:ascii="Arial" w:cs="Arial" w:eastAsia="Arial" w:hAnsi="Arial"/>
                <w:color w:val="1C1C1C"/>
                <w:sz w:val="22"/>
                <w:szCs w:val="22"/>
              </w:rPr>
              <w:t xml:space="preserve">A bootstrapped model may contain harmful, biased, or adversarially poisoned representations. Registering it directly imports those representations with no quarantine.</w:t>
            </w:r>
          </w:p>
          <w:p>
            <w:pPr>
              <w:spacing w:before="80" w:after="40"/>
            </w:pPr>
            <w:r>
              <w:rPr>
                <w:rFonts w:ascii="Arial" w:cs="Arial" w:eastAsia="Arial" w:hAnsi="Arial"/>
                <w:b/>
                <w:bCs/>
                <w:color w:val="1A6B3C"/>
                <w:sz w:val="21"/>
                <w:szCs w:val="21"/>
              </w:rPr>
              <w:t xml:space="preserve">Mitigation (Partial):</w:t>
            </w:r>
          </w:p>
          <w:p>
            <w:pPr>
              <w:spacing w:before="60" w:after="100"/>
            </w:pPr>
            <w:r>
              <w:rPr>
                <w:rFonts w:ascii="Arial" w:cs="Arial" w:eastAsia="Arial" w:hAnsi="Arial"/>
                <w:color w:val="1C1C1C"/>
                <w:sz w:val="22"/>
                <w:szCs w:val="22"/>
              </w:rPr>
              <w:t xml:space="preserve">Mandatory post-bootstrap validation against triggering queries and a safety evaluation suite before registration. Quality score threshold. Compliance-vetted model list for regulated domains. Limitation: safety evaluation suites cannot catch all forms of subtle value misalignment. Human review recommended for high-stakes domain bootstraps.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T2 — BLoB MAP Stage Overfitting</w:t>
            </w:r>
          </w:p>
          <w:p>
            <w:pPr>
              <w:spacing w:before="60" w:after="100"/>
            </w:pPr>
            <w:r>
              <w:rPr>
                <w:rFonts w:ascii="Arial" w:cs="Arial" w:eastAsia="Arial" w:hAnsi="Arial"/>
                <w:color w:val="1C1C1C"/>
                <w:sz w:val="22"/>
                <w:szCs w:val="22"/>
              </w:rPr>
              <w:t xml:space="preserve">The MAP pre-training stage may overfit to the sub-domain corpus before BLoB fine-tuning begins, initializing the mean parameters at a degenerate solution that limits the posterior's ability to represent genuine uncertainty.</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Apply early stopping to the MAP stage using a held-out validation subset (15% of the sub-domain corpus). Stop MAP training when validation loss stops improving rather than at full convergence. Light L2 regularization on MAP training prevents extreme weight values that would produce degenerate posterior initializations. Monitor MAP training loss on the validation set and alert if it diverges upward.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T3 — Synthetic Data Feedback Loop</w:t>
            </w:r>
          </w:p>
          <w:p>
            <w:pPr>
              <w:spacing w:before="60" w:after="100"/>
            </w:pPr>
            <w:r>
              <w:rPr>
                <w:rFonts w:ascii="Arial" w:cs="Arial" w:eastAsia="Arial" w:hAnsi="Arial"/>
                <w:color w:val="1C1C1C"/>
                <w:sz w:val="22"/>
                <w:szCs w:val="22"/>
              </w:rPr>
              <w:t xml:space="preserve">If DEMoE experts are used as sources of synthetic data, errors compound across training generations.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Hard prohibition: all synthetic data must originate from frontier models external to the DEMoE system. Enforced as a pipeline constraint, not a guideline. The 30% synthetic data cap applies per training run and cannot be accumulated across training generations.</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10.2  Inference-Time Fatal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I1 — Routing Deadlock on Total Uncertainty</w:t>
            </w:r>
          </w:p>
          <w:p>
            <w:pPr>
              <w:spacing w:before="60" w:after="100"/>
            </w:pPr>
            <w:r>
              <w:rPr>
                <w:rFonts w:ascii="Arial" w:cs="Arial" w:eastAsia="Arial" w:hAnsi="Arial"/>
                <w:color w:val="1C1C1C"/>
                <w:sz w:val="22"/>
                <w:szCs w:val="22"/>
              </w:rPr>
              <w:t xml:space="preserve">All K_fine = 5 candidate experts exceed the routing threshold — every expert is uncertain about the query.</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Explicit routing deadlock protocol: (1) Run clarification mechanism if EASM planning confidence was low — return a structured clarification request. (2) For queries where planning was confident: return the lowest-uncertainty expert's response with an explicit confidence label. (3) Log as a gap event and prioritize for creation pipeline. Never silently return a response known to be unreliable.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I2 — FAISS Index Inconsistency During Updates</w:t>
            </w:r>
          </w:p>
          <w:p>
            <w:pPr>
              <w:spacing w:before="60" w:after="100"/>
            </w:pPr>
            <w:r>
              <w:rPr>
                <w:rFonts w:ascii="Arial" w:cs="Arial" w:eastAsia="Arial" w:hAnsi="Arial"/>
                <w:color w:val="1C1C1C"/>
                <w:sz w:val="22"/>
                <w:szCs w:val="22"/>
              </w:rPr>
              <w:t xml:space="preserve">Queries routed during an expert update may use stale index information.</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Double-buffer indexing: maintain active and staging FAISS index versions. All updates go to staging. When staging update completes, perform an atomic swap of the active index pointer. Queries always run against the active index. The swap is instantaneous at the pointer level with no copying required.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I3 — EASM Synthesis Context Overflow</w:t>
            </w:r>
          </w:p>
          <w:p>
            <w:pPr>
              <w:spacing w:before="60" w:after="100"/>
            </w:pPr>
            <w:r>
              <w:rPr>
                <w:rFonts w:ascii="Arial" w:cs="Arial" w:eastAsia="Arial" w:hAnsi="Arial"/>
                <w:color w:val="1C1C1C"/>
                <w:sz w:val="22"/>
                <w:szCs w:val="22"/>
              </w:rPr>
              <w:t xml:space="preserve">For M_active = 3 experts on a complex query, the synthesis prompt may exceed the EASM's context window, causing silent truncation of expert outputs.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Before synthesis generation, compute total prompt token count. If it exceeds 75% of the EASM's context window, apply a hierarchical summarization pre-pass: the EASM summarizes each expert output to a maximum token budget (context_window × 0.20 per expert), then runs synthesis on the summarized outputs. This preserves synthesis quality at the cost of one additional EASM forward pass.</w:t>
            </w:r>
          </w:p>
        </w:tc>
      </w:tr>
    </w:tbl>
    <w:p>
      <w:pPr>
        <w:spacing w:before="0" w:after="60"/>
      </w:pPr>
      <w:r>
        <w:t xml:space="preserve"/>
      </w:r>
    </w:p>
    <w:p>
      <w:pPr>
        <w:pStyle w:val="Heading2"/>
        <w:spacing w:before="320" w:after="120"/>
      </w:pPr>
      <w:r>
        <w:rPr>
          <w:rFonts w:ascii="Arial" w:cs="Arial" w:eastAsia="Arial" w:hAnsi="Arial"/>
          <w:b/>
          <w:bCs/>
          <w:color w:val="2E86AB"/>
          <w:sz w:val="28"/>
          <w:szCs w:val="28"/>
        </w:rPr>
        <w:t xml:space="preserve">10.3  Test-Time Fatal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TT1 — Distribution Shift Between Calibration and Deployment</w:t>
            </w:r>
          </w:p>
          <w:p>
            <w:pPr>
              <w:spacing w:before="60" w:after="100"/>
            </w:pPr>
            <w:r>
              <w:rPr>
                <w:rFonts w:ascii="Arial" w:cs="Arial" w:eastAsia="Arial" w:hAnsi="Arial"/>
                <w:color w:val="1C1C1C"/>
                <w:sz w:val="22"/>
                <w:szCs w:val="22"/>
              </w:rPr>
              <w:t xml:space="preserve">If deployment query distribution differs systematically from calibration-time distribution, all calibrated components may be simultaneously miscalibrated.</w:t>
            </w:r>
          </w:p>
          <w:p>
            <w:pPr>
              <w:spacing w:before="80" w:after="40"/>
            </w:pPr>
            <w:r>
              <w:rPr>
                <w:rFonts w:ascii="Arial" w:cs="Arial" w:eastAsia="Arial" w:hAnsi="Arial"/>
                <w:b/>
                <w:bCs/>
                <w:color w:val="1A6B3C"/>
                <w:sz w:val="21"/>
                <w:szCs w:val="21"/>
              </w:rPr>
              <w:t xml:space="preserve">Mitigation (Partial):</w:t>
            </w:r>
          </w:p>
          <w:p>
            <w:pPr>
              <w:spacing w:before="60" w:after="100"/>
            </w:pPr>
            <w:r>
              <w:rPr>
                <w:rFonts w:ascii="Arial" w:cs="Arial" w:eastAsia="Arial" w:hAnsi="Arial"/>
                <w:color w:val="1C1C1C"/>
                <w:sz w:val="22"/>
                <w:szCs w:val="22"/>
              </w:rPr>
              <w:t xml:space="preserve">Monitor deployment query distribution statistics and compare to calibration-time distribution using maximum mean discrepancy (MMD). When significant shift is detected, trigger threshold MLP recalibration on deployment data using the delayed-label training signal. Sudden large shifts require a planned recalibration period and cannot be fully handled by online monitoring alone.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23B72" w:sz="1"/>
              <w:left w:val="single" w:color="A23B72" w:sz="1"/>
              <w:bottom w:val="single" w:color="A23B72" w:sz="1"/>
              <w:right w:val="single" w:color="A23B72" w:sz="1"/>
            </w:tcBorders>
            <w:shd w:fill="F5EEF8" w:val="clear"/>
            <w:tcMar>
              <w:top w:type="dxa" w:w="120"/>
              <w:left w:type="dxa" w:w="180"/>
              <w:bottom w:type="dxa" w:w="120"/>
              <w:right w:type="dxa" w:w="180"/>
            </w:tcMar>
          </w:tcPr>
          <w:p>
            <w:pPr>
              <w:spacing w:before="0" w:after="80"/>
            </w:pPr>
            <w:r>
              <w:rPr>
                <w:rFonts w:ascii="Arial" w:cs="Arial" w:eastAsia="Arial" w:hAnsi="Arial"/>
                <w:b/>
                <w:bCs/>
                <w:color w:val="C0392B"/>
                <w:sz w:val="21"/>
                <w:szCs w:val="21"/>
              </w:rPr>
              <w:t xml:space="preserve">FATAL TT2 — EASM Synthesis Template Library Pollution</w:t>
            </w:r>
          </w:p>
          <w:p>
            <w:pPr>
              <w:spacing w:before="60" w:after="100"/>
            </w:pPr>
            <w:r>
              <w:rPr>
                <w:rFonts w:ascii="Arial" w:cs="Arial" w:eastAsia="Arial" w:hAnsi="Arial"/>
                <w:color w:val="1C1C1C"/>
                <w:sz w:val="22"/>
                <w:szCs w:val="22"/>
              </w:rPr>
              <w:t xml:space="preserve">Systematically biased or incorrect syntheses that users do not follow up on may enter the template library and compound errors.</w:t>
            </w:r>
          </w:p>
          <w:p>
            <w:pPr>
              <w:spacing w:before="80" w:after="40"/>
            </w:pPr>
            <w:r>
              <w:rPr>
                <w:rFonts w:ascii="Arial" w:cs="Arial" w:eastAsia="Arial" w:hAnsi="Arial"/>
                <w:b/>
                <w:bCs/>
                <w:color w:val="1A6B3C"/>
                <w:sz w:val="21"/>
                <w:szCs w:val="21"/>
              </w:rPr>
              <w:t xml:space="preserve">Mitigation:</w:t>
            </w:r>
          </w:p>
          <w:p>
            <w:pPr>
              <w:spacing w:before="60" w:after="100"/>
            </w:pPr>
            <w:r>
              <w:rPr>
                <w:rFonts w:ascii="Arial" w:cs="Arial" w:eastAsia="Arial" w:hAnsi="Arial"/>
                <w:color w:val="1C1C1C"/>
                <w:sz w:val="22"/>
                <w:szCs w:val="22"/>
              </w:rPr>
              <w:t xml:space="preserve">Template library admission requires dual-source traceability: every factual claim in the synthesis must trace to at least one source expert output. Templates failing traceability are excluded. Quarterly spot-check audit on a random sample of templates — templates failing audit are retired.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44" w:sz="1"/>
              <w:left w:val="single" w:color="CC4444" w:sz="1"/>
              <w:bottom w:val="single" w:color="CC4444" w:sz="1"/>
              <w:right w:val="single" w:color="CC4444" w:sz="1"/>
            </w:tcBorders>
            <w:shd w:fill="FFF0F0" w:val="clear"/>
            <w:tcMar>
              <w:top w:type="dxa" w:w="120"/>
              <w:left w:type="dxa" w:w="180"/>
              <w:bottom w:type="dxa" w:w="120"/>
              <w:right w:type="dxa" w:w="180"/>
            </w:tcMar>
          </w:tcPr>
          <w:p>
            <w:pPr>
              <w:spacing w:before="0" w:after="80"/>
            </w:pPr>
            <w:r>
              <w:rPr>
                <w:rFonts w:ascii="Arial" w:cs="Arial" w:eastAsia="Arial" w:hAnsi="Arial"/>
                <w:b/>
                <w:bCs/>
                <w:color w:val="7B0000"/>
                <w:sz w:val="21"/>
                <w:szCs w:val="21"/>
              </w:rPr>
              <w:t xml:space="preserve">OPEN PROBLEM — Graceful Degradation Under Encoder Failure</w:t>
            </w:r>
          </w:p>
          <w:p>
            <w:pPr>
              <w:spacing w:before="60" w:after="100"/>
            </w:pPr>
            <w:r>
              <w:rPr>
                <w:rFonts w:ascii="Arial" w:cs="Arial" w:eastAsia="Arial" w:hAnsi="Arial"/>
                <w:color w:val="1C1C1C"/>
                <w:sz w:val="22"/>
                <w:szCs w:val="22"/>
              </w:rPr>
              <w:t xml:space="preserve">The entire routing architecture depends on the shared MRL encoder. If the encoder is unavailable, FAISS cannot be queried, and routing fails for novel queries. Partial mitigations: cached routing table for the last N_cache = 10,000 most frequent queries; encoder replica redundancy. For truly novel queries during an encoder outage, no satisfactory degradation strategy exists that maintains full functionality. This is an acknowledged open problem requiring infrastructure-level solutions.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44" w:sz="1"/>
              <w:left w:val="single" w:color="CC4444" w:sz="1"/>
              <w:bottom w:val="single" w:color="CC4444" w:sz="1"/>
              <w:right w:val="single" w:color="CC4444" w:sz="1"/>
            </w:tcBorders>
            <w:shd w:fill="FFF0F0" w:val="clear"/>
            <w:tcMar>
              <w:top w:type="dxa" w:w="120"/>
              <w:left w:type="dxa" w:w="180"/>
              <w:bottom w:type="dxa" w:w="120"/>
              <w:right w:type="dxa" w:w="180"/>
            </w:tcMar>
          </w:tcPr>
          <w:p>
            <w:pPr>
              <w:spacing w:before="0" w:after="80"/>
            </w:pPr>
            <w:r>
              <w:rPr>
                <w:rFonts w:ascii="Arial" w:cs="Arial" w:eastAsia="Arial" w:hAnsi="Arial"/>
                <w:b/>
                <w:bCs/>
                <w:color w:val="7B0000"/>
                <w:sz w:val="21"/>
                <w:szCs w:val="21"/>
              </w:rPr>
              <w:t xml:space="preserve">OPEN PROBLEM — Long-Term Base Expert Identity Drift Under Continual Learning</w:t>
            </w:r>
          </w:p>
          <w:p>
            <w:pPr>
              <w:spacing w:before="60" w:after="100"/>
            </w:pPr>
            <w:r>
              <w:rPr>
                <w:rFonts w:ascii="Arial" w:cs="Arial" w:eastAsia="Arial" w:hAnsi="Arial"/>
                <w:color w:val="1C1C1C"/>
                <w:sz w:val="22"/>
                <w:szCs w:val="22"/>
              </w:rPr>
              <w:t xml:space="preserve">A base expert undergoing many rounds of EWC-regularized updates over months or years may drift gradually from its original specialization — the model remains competent but competent at a slightly shifted domain, accumulating mismatch between its embedding-space position and its actual behavior. Unlike catastrophic forgetting (which EWC addresses), gradual semantic drift is not caught by EWC because no single update is large enough to trigger Fisher protection. Periodic full re-validation against domain benchmarks can detect this, but correcting it may require significant retraining. This is an inherent long-term stability risk of continual learning architectures and is currently an open problem in the broader research community.</w:t>
            </w:r>
          </w:p>
        </w:tc>
      </w:tr>
    </w:tbl>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11.  System Integration — The Full Loop</w:t>
      </w:r>
    </w:p>
    <w:p>
      <w:pPr>
        <w:pStyle w:val="Heading2"/>
        <w:spacing w:before="320" w:after="120"/>
      </w:pPr>
      <w:r>
        <w:rPr>
          <w:rFonts w:ascii="Arial" w:cs="Arial" w:eastAsia="Arial" w:hAnsi="Arial"/>
          <w:b/>
          <w:bCs/>
          <w:color w:val="2E86AB"/>
          <w:sz w:val="28"/>
          <w:szCs w:val="28"/>
        </w:rPr>
        <w:t xml:space="preserve">11.1  End-to-End Query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80"/>
              <w:bottom w:type="dxa" w:w="120"/>
              <w:right w:type="dxa" w:w="180"/>
            </w:tcMar>
          </w:tcPr>
          <w:p>
            <w:pPr>
              <w:spacing w:before="60" w:after="80"/>
            </w:pPr>
            <w:r>
              <w:rPr>
                <w:rFonts w:ascii="Arial" w:cs="Arial" w:eastAsia="Arial" w:hAnsi="Arial"/>
                <w:b/>
                <w:bCs/>
                <w:color w:val="1B3A5C"/>
                <w:sz w:val="22"/>
                <w:szCs w:val="22"/>
              </w:rPr>
              <w:t xml:space="preserve">Query Processing Flow v4.0</w:t>
            </w:r>
          </w:p>
          <w:p>
            <w:pPr>
              <w:pStyle w:val="ListParagraph"/>
              <w:numPr>
                <w:ilvl w:val="0"/>
                <w:numId w:val="3"/>
              </w:numPr>
              <w:spacing w:before="40" w:after="40"/>
            </w:pPr>
            <w:r>
              <w:rPr>
                <w:rFonts w:ascii="Arial" w:cs="Arial" w:eastAsia="Arial" w:hAnsi="Arial"/>
                <w:color w:val="1C1C1C"/>
                <w:sz w:val="21"/>
                <w:szCs w:val="21"/>
              </w:rPr>
              <w:t xml:space="preserve">Query arrives. Aleatoric pre-classifier checks for inherent ambiguity. If high-aleatoric: route to best expert with ambiguity acknowledgment, no gap detection.</w:t>
            </w:r>
          </w:p>
          <w:p>
            <w:pPr>
              <w:pStyle w:val="ListParagraph"/>
              <w:numPr>
                <w:ilvl w:val="0"/>
                <w:numId w:val="3"/>
              </w:numPr>
              <w:spacing w:before="40" w:after="40"/>
            </w:pPr>
            <w:r>
              <w:rPr>
                <w:rFonts w:ascii="Arial" w:cs="Arial" w:eastAsia="Arial" w:hAnsi="Arial"/>
                <w:color w:val="1C1C1C"/>
                <w:sz w:val="21"/>
                <w:szCs w:val="21"/>
              </w:rPr>
              <w:t xml:space="preserve">Fast-path classifier: if clearly single-expert with high confidence, embed query directly and skip EASM planning pass. Otherwise invoke EASM planning adapter to produce domain labels, sub-questions, integration structure, and decomposition confidence.</w:t>
            </w:r>
          </w:p>
          <w:p>
            <w:pPr>
              <w:pStyle w:val="ListParagraph"/>
              <w:numPr>
                <w:ilvl w:val="0"/>
                <w:numId w:val="3"/>
              </w:numPr>
              <w:spacing w:before="40" w:after="40"/>
            </w:pPr>
            <w:r>
              <w:rPr>
                <w:rFonts w:ascii="Arial" w:cs="Arial" w:eastAsia="Arial" w:hAnsi="Arial"/>
                <w:color w:val="1C1C1C"/>
                <w:sz w:val="21"/>
                <w:szCs w:val="21"/>
              </w:rPr>
              <w:t xml:space="preserve">If decomposition confidence is low AND routing will likely fail: return EASM-structured clarification request before any expert activation.</w:t>
            </w:r>
          </w:p>
          <w:p>
            <w:pPr>
              <w:pStyle w:val="ListParagraph"/>
              <w:numPr>
                <w:ilvl w:val="0"/>
                <w:numId w:val="3"/>
              </w:numPr>
              <w:spacing w:before="40" w:after="40"/>
            </w:pPr>
            <w:r>
              <w:rPr>
                <w:rFonts w:ascii="Arial" w:cs="Arial" w:eastAsia="Arial" w:hAnsi="Arial"/>
                <w:color w:val="1C1C1C"/>
                <w:sz w:val="21"/>
                <w:szCs w:val="21"/>
              </w:rPr>
              <w:t xml:space="preserve">MRL Stage 1: 64-dim FAISS query per domain label, K_coarse = 20 candidates each. Domain projection adapter applied if registered. Fast-path cache check: if near-duplicate of cached routing, bypass to cached expert.</w:t>
            </w:r>
          </w:p>
          <w:p>
            <w:pPr>
              <w:pStyle w:val="ListParagraph"/>
              <w:numPr>
                <w:ilvl w:val="0"/>
                <w:numId w:val="3"/>
              </w:numPr>
              <w:spacing w:before="40" w:after="40"/>
            </w:pPr>
            <w:r>
              <w:rPr>
                <w:rFonts w:ascii="Arial" w:cs="Arial" w:eastAsia="Arial" w:hAnsi="Arial"/>
                <w:color w:val="1C1C1C"/>
                <w:sz w:val="21"/>
                <w:szCs w:val="21"/>
              </w:rPr>
              <w:t xml:space="preserve">MRL Stage 2: 768-dim re-ranking per domain label. Top K_fine = 5 retained per label.</w:t>
            </w:r>
          </w:p>
          <w:p>
            <w:pPr>
              <w:pStyle w:val="ListParagraph"/>
              <w:numPr>
                <w:ilvl w:val="0"/>
                <w:numId w:val="3"/>
              </w:numPr>
              <w:spacing w:before="40" w:after="40"/>
            </w:pPr>
            <w:r>
              <w:rPr>
                <w:rFonts w:ascii="Arial" w:cs="Arial" w:eastAsia="Arial" w:hAnsi="Arial"/>
                <w:color w:val="1C1C1C"/>
                <w:sz w:val="21"/>
                <w:szCs w:val="21"/>
              </w:rPr>
              <w:t xml:space="preserve">Single-token TokUR + Mahalanobis OOD per candidate. U_base computed. Expert with lowest U_base below θ_routing(domain) selected per domain label. Concept overlap check merges domain labels with similarity &gt; 0.80. Budget cap: max M_active = 3 experts.</w:t>
            </w:r>
          </w:p>
          <w:p>
            <w:pPr>
              <w:pStyle w:val="ListParagraph"/>
              <w:numPr>
                <w:ilvl w:val="0"/>
                <w:numId w:val="3"/>
              </w:numPr>
              <w:spacing w:before="40" w:after="40"/>
            </w:pPr>
            <w:r>
              <w:rPr>
                <w:rFonts w:ascii="Arial" w:cs="Arial" w:eastAsia="Arial" w:hAnsi="Arial"/>
                <w:color w:val="1C1C1C"/>
                <w:sz w:val="21"/>
                <w:szCs w:val="21"/>
              </w:rPr>
              <w:t xml:space="preserve">BLoB adapter selection within each activated expert: top-M = 3 by S_i score, BLoB uncertainty evaluated, adapter with lowest uncertainty below θ_adapter(domain) activated.</w:t>
            </w:r>
          </w:p>
          <w:p>
            <w:pPr>
              <w:pStyle w:val="ListParagraph"/>
              <w:numPr>
                <w:ilvl w:val="0"/>
                <w:numId w:val="3"/>
              </w:numPr>
              <w:spacing w:before="40" w:after="40"/>
            </w:pPr>
            <w:r>
              <w:rPr>
                <w:rFonts w:ascii="Arial" w:cs="Arial" w:eastAsia="Arial" w:hAnsi="Arial"/>
                <w:color w:val="1C1C1C"/>
                <w:sz w:val="21"/>
                <w:szCs w:val="21"/>
              </w:rPr>
              <w:t xml:space="preserve">Single-expert queries: generate response directly from base expert + BLoB adapter. Multi-expert queries: routing deduplication, then EASM synthesis mode with thought templates, dual-source traceability filter, synthesis-level TokUR.</w:t>
            </w:r>
          </w:p>
          <w:p>
            <w:pPr>
              <w:pStyle w:val="ListParagraph"/>
              <w:numPr>
                <w:ilvl w:val="0"/>
                <w:numId w:val="3"/>
              </w:numPr>
              <w:spacing w:before="40" w:after="40"/>
            </w:pPr>
            <w:r>
              <w:rPr>
                <w:rFonts w:ascii="Arial" w:cs="Arial" w:eastAsia="Arial" w:hAnsi="Arial"/>
                <w:color w:val="1C1C1C"/>
                <w:sz w:val="21"/>
                <w:szCs w:val="21"/>
              </w:rPr>
              <w:t xml:space="preserve">Response returned with composite confidence annotation (minimum per-concept BLoB confidence weighted by centrality) and per-claim source attribution. All uncertainty scores logged.</w:t>
            </w:r>
          </w:p>
          <w:p>
            <w:pPr>
              <w:pStyle w:val="ListParagraph"/>
              <w:numPr>
                <w:ilvl w:val="0"/>
                <w:numId w:val="3"/>
              </w:numPr>
              <w:spacing w:before="40" w:after="40"/>
            </w:pPr>
            <w:r>
              <w:rPr>
                <w:rFonts w:ascii="Arial" w:cs="Arial" w:eastAsia="Arial" w:hAnsi="Arial"/>
                <w:color w:val="1C1C1C"/>
                <w:sz w:val="21"/>
                <w:szCs w:val="21"/>
              </w:rPr>
              <w:t xml:space="preserve">Gap event triggering: adapter gaps queued if ≥3 in 30 days; base model gaps queued if ≥10 in 30 days AND data sufficient (bootstrap checked first). New expert registration notifies EASM for alignment fine-tune.</w:t>
            </w:r>
          </w:p>
        </w:tc>
      </w:tr>
    </w:tbl>
    <w:p>
      <w:pPr>
        <w:spacing w:before="0" w:after="80"/>
      </w:pPr>
      <w:r>
        <w:t xml:space="preserve"/>
      </w:r>
    </w:p>
    <w:p>
      <w:pPr>
        <w:pStyle w:val="Heading2"/>
        <w:spacing w:before="320" w:after="120"/>
      </w:pPr>
      <w:r>
        <w:rPr>
          <w:rFonts w:ascii="Arial" w:cs="Arial" w:eastAsia="Arial" w:hAnsi="Arial"/>
          <w:b/>
          <w:bCs/>
          <w:color w:val="2E86AB"/>
          <w:sz w:val="28"/>
          <w:szCs w:val="28"/>
        </w:rPr>
        <w:t xml:space="preserve">11.2  System Health Monitoring</w:t>
      </w:r>
    </w:p>
    <w:p>
      <w:pPr>
        <w:pStyle w:val="ListParagraph"/>
        <w:numPr>
          <w:ilvl w:val="0"/>
          <w:numId w:val="2"/>
        </w:numPr>
        <w:spacing w:before="40" w:after="40"/>
      </w:pPr>
      <w:r>
        <w:rPr>
          <w:rFonts w:ascii="Arial" w:cs="Arial" w:eastAsia="Arial" w:hAnsi="Arial"/>
          <w:b/>
          <w:bCs/>
          <w:color w:val="1B3A5C"/>
          <w:sz w:val="21"/>
          <w:szCs w:val="21"/>
        </w:rPr>
        <w:t xml:space="preserve">Expert Coverage: </w:t>
      </w:r>
      <w:r>
        <w:rPr>
          <w:rFonts w:ascii="Arial" w:cs="Arial" w:eastAsia="Arial" w:hAnsi="Arial"/>
          <w:color w:val="1C1C1C"/>
          <w:sz w:val="21"/>
          <w:szCs w:val="21"/>
        </w:rPr>
        <w:t xml:space="preserve">Fraction of queries routed below routing threshold. Declining coverage triggers domain analysis and creation pipeline escalation.</w:t>
      </w:r>
    </w:p>
    <w:p>
      <w:pPr>
        <w:pStyle w:val="ListParagraph"/>
        <w:numPr>
          <w:ilvl w:val="0"/>
          <w:numId w:val="2"/>
        </w:numPr>
        <w:spacing w:before="40" w:after="40"/>
      </w:pPr>
      <w:r>
        <w:rPr>
          <w:rFonts w:ascii="Arial" w:cs="Arial" w:eastAsia="Arial" w:hAnsi="Arial"/>
          <w:b/>
          <w:bCs/>
          <w:color w:val="1B3A5C"/>
          <w:sz w:val="21"/>
          <w:szCs w:val="21"/>
        </w:rPr>
        <w:t xml:space="preserve">Routing Coherence: </w:t>
      </w:r>
      <w:r>
        <w:rPr>
          <w:rFonts w:ascii="Arial" w:cs="Arial" w:eastAsia="Arial" w:hAnsi="Arial"/>
          <w:color w:val="1C1C1C"/>
          <w:sz w:val="21"/>
          <w:szCs w:val="21"/>
        </w:rPr>
        <w:t xml:space="preserve">Variance of routing decisions for near-duplicate query pairs. Low coherence in a domain triggers domain projection adapter creation.</w:t>
      </w:r>
    </w:p>
    <w:p>
      <w:pPr>
        <w:pStyle w:val="ListParagraph"/>
        <w:numPr>
          <w:ilvl w:val="0"/>
          <w:numId w:val="2"/>
        </w:numPr>
        <w:spacing w:before="40" w:after="40"/>
      </w:pPr>
      <w:r>
        <w:rPr>
          <w:rFonts w:ascii="Arial" w:cs="Arial" w:eastAsia="Arial" w:hAnsi="Arial"/>
          <w:b/>
          <w:bCs/>
          <w:color w:val="1B3A5C"/>
          <w:sz w:val="21"/>
          <w:szCs w:val="21"/>
        </w:rPr>
        <w:t xml:space="preserve">BLoB Calibration Health: </w:t>
      </w:r>
      <w:r>
        <w:rPr>
          <w:rFonts w:ascii="Arial" w:cs="Arial" w:eastAsia="Arial" w:hAnsi="Arial"/>
          <w:color w:val="1C1C1C"/>
          <w:sz w:val="21"/>
          <w:szCs w:val="21"/>
        </w:rPr>
        <w:t xml:space="preserve">ECE monitoring for all BLoB adapters on their validation sets. Adapters with ECE above domain-specific threshold flagged for recalibration.</w:t>
      </w:r>
    </w:p>
    <w:p>
      <w:pPr>
        <w:pStyle w:val="ListParagraph"/>
        <w:numPr>
          <w:ilvl w:val="0"/>
          <w:numId w:val="2"/>
        </w:numPr>
        <w:spacing w:before="40" w:after="40"/>
      </w:pPr>
      <w:r>
        <w:rPr>
          <w:rFonts w:ascii="Arial" w:cs="Arial" w:eastAsia="Arial" w:hAnsi="Arial"/>
          <w:b/>
          <w:bCs/>
          <w:color w:val="1B3A5C"/>
          <w:sz w:val="21"/>
          <w:szCs w:val="21"/>
        </w:rPr>
        <w:t xml:space="preserve">Posterior Collapse Monitor: </w:t>
      </w:r>
      <w:r>
        <w:rPr>
          <w:rFonts w:ascii="Arial" w:cs="Arial" w:eastAsia="Arial" w:hAnsi="Arial"/>
          <w:color w:val="1C1C1C"/>
          <w:sz w:val="21"/>
          <w:szCs w:val="21"/>
        </w:rPr>
        <w:t xml:space="preserve">Average posterior variance across all BLoB adapters tracked continuously. Any adapter with mean posterior variance below the minimum floor threshold flagged for BLoB retraining.</w:t>
      </w:r>
    </w:p>
    <w:p>
      <w:pPr>
        <w:pStyle w:val="ListParagraph"/>
        <w:numPr>
          <w:ilvl w:val="0"/>
          <w:numId w:val="2"/>
        </w:numPr>
        <w:spacing w:before="40" w:after="40"/>
      </w:pPr>
      <w:r>
        <w:rPr>
          <w:rFonts w:ascii="Arial" w:cs="Arial" w:eastAsia="Arial" w:hAnsi="Arial"/>
          <w:b/>
          <w:bCs/>
          <w:color w:val="1B3A5C"/>
          <w:sz w:val="21"/>
          <w:szCs w:val="21"/>
        </w:rPr>
        <w:t xml:space="preserve">EASM Alignment Quality: </w:t>
      </w:r>
      <w:r>
        <w:rPr>
          <w:rFonts w:ascii="Arial" w:cs="Arial" w:eastAsia="Arial" w:hAnsi="Arial"/>
          <w:color w:val="1C1C1C"/>
          <w:sz w:val="21"/>
          <w:szCs w:val="21"/>
        </w:rPr>
        <w:t xml:space="preserve">Synthesis quality metric on a fixed cross-domain probe set, evaluated after every EASM synthesis adapter update. Declining quality triggers additional alignment fine-tuning.</w:t>
      </w:r>
    </w:p>
    <w:p>
      <w:pPr>
        <w:pStyle w:val="ListParagraph"/>
        <w:numPr>
          <w:ilvl w:val="0"/>
          <w:numId w:val="2"/>
        </w:numPr>
        <w:spacing w:before="40" w:after="40"/>
      </w:pPr>
      <w:r>
        <w:rPr>
          <w:rFonts w:ascii="Arial" w:cs="Arial" w:eastAsia="Arial" w:hAnsi="Arial"/>
          <w:b/>
          <w:bCs/>
          <w:color w:val="1B3A5C"/>
          <w:sz w:val="21"/>
          <w:szCs w:val="21"/>
        </w:rPr>
        <w:t xml:space="preserve">Bootstrap Registry Currency: </w:t>
      </w:r>
      <w:r>
        <w:rPr>
          <w:rFonts w:ascii="Arial" w:cs="Arial" w:eastAsia="Arial" w:hAnsi="Arial"/>
          <w:color w:val="1C1C1C"/>
          <w:sz w:val="21"/>
          <w:szCs w:val="21"/>
        </w:rPr>
        <w:t xml:space="preserve">Quarterly automated scan of open-source model releases. New models evaluated against quality threshold and added to registry if they pass.</w:t>
      </w:r>
    </w:p>
    <w:p>
      <w:pPr>
        <w:pStyle w:val="ListParagraph"/>
        <w:numPr>
          <w:ilvl w:val="0"/>
          <w:numId w:val="2"/>
        </w:numPr>
        <w:spacing w:before="40" w:after="40"/>
      </w:pPr>
      <w:r>
        <w:rPr>
          <w:rFonts w:ascii="Arial" w:cs="Arial" w:eastAsia="Arial" w:hAnsi="Arial"/>
          <w:b/>
          <w:bCs/>
          <w:color w:val="1B3A5C"/>
          <w:sz w:val="21"/>
          <w:szCs w:val="21"/>
        </w:rPr>
        <w:t xml:space="preserve">Distribution Shift Monitor: </w:t>
      </w:r>
      <w:r>
        <w:rPr>
          <w:rFonts w:ascii="Arial" w:cs="Arial" w:eastAsia="Arial" w:hAnsi="Arial"/>
          <w:color w:val="1C1C1C"/>
          <w:sz w:val="21"/>
          <w:szCs w:val="21"/>
        </w:rPr>
        <w:t xml:space="preserve">MMD between deployment and calibration-time query distributions. Significant shift triggers threshold MLP recalibration cycle.</w:t>
      </w:r>
    </w:p>
    <w:p>
      <w:pPr>
        <w:pStyle w:val="ListParagraph"/>
        <w:numPr>
          <w:ilvl w:val="0"/>
          <w:numId w:val="2"/>
        </w:numPr>
        <w:spacing w:before="40" w:after="40"/>
      </w:pPr>
      <w:r>
        <w:rPr>
          <w:rFonts w:ascii="Arial" w:cs="Arial" w:eastAsia="Arial" w:hAnsi="Arial"/>
          <w:b/>
          <w:bCs/>
          <w:color w:val="1B3A5C"/>
          <w:sz w:val="21"/>
          <w:szCs w:val="21"/>
        </w:rPr>
        <w:t xml:space="preserve">Open Problem Sentinels: </w:t>
      </w:r>
      <w:r>
        <w:rPr>
          <w:rFonts w:ascii="Arial" w:cs="Arial" w:eastAsia="Arial" w:hAnsi="Arial"/>
          <w:color w:val="1C1C1C"/>
          <w:sz w:val="21"/>
          <w:szCs w:val="21"/>
        </w:rPr>
        <w:t xml:space="preserve">Encoder health (replica availability, latency percentiles) and expert identity drift (benchmark performance trend over rolling 90-day window) are monitored and reported to human operators without automated correction.</w:t>
      </w:r>
    </w:p>
    <w:p>
      <w:pPr>
        <w:spacing w:before="0" w:after="80"/>
      </w:pPr>
      <w:r>
        <w:t xml:space="preserve"/>
      </w:r>
    </w:p>
    <w:p>
      <w:pPr>
        <w:pStyle w:val="Heading2"/>
        <w:spacing w:before="320" w:after="120"/>
      </w:pPr>
      <w:r>
        <w:rPr>
          <w:rFonts w:ascii="Arial" w:cs="Arial" w:eastAsia="Arial" w:hAnsi="Arial"/>
          <w:b/>
          <w:bCs/>
          <w:color w:val="2E86AB"/>
          <w:sz w:val="28"/>
          <w:szCs w:val="28"/>
        </w:rPr>
        <w:t xml:space="preserve">11.3  Open Research Questions</w:t>
      </w:r>
    </w:p>
    <w:p>
      <w:pPr>
        <w:pStyle w:val="ListParagraph"/>
        <w:numPr>
          <w:ilvl w:val="0"/>
          <w:numId w:val="2"/>
        </w:numPr>
        <w:spacing w:before="40" w:after="40"/>
      </w:pPr>
      <w:r>
        <w:rPr>
          <w:rFonts w:ascii="Arial" w:cs="Arial" w:eastAsia="Arial" w:hAnsi="Arial"/>
          <w:b/>
          <w:bCs/>
          <w:color w:val="1B3A5C"/>
          <w:sz w:val="21"/>
          <w:szCs w:val="21"/>
        </w:rPr>
        <w:t xml:space="preserve">Two-NN scaling factor calibration: </w:t>
      </w:r>
      <w:r>
        <w:rPr>
          <w:rFonts w:ascii="Arial" w:cs="Arial" w:eastAsia="Arial" w:hAnsi="Arial"/>
          <w:color w:val="1C1C1C"/>
          <w:sz w:val="21"/>
          <w:szCs w:val="21"/>
        </w:rPr>
        <w:t xml:space="preserve">The scaling factor s = 0.5 for Two-NN-to-rank mapping is a recommendation, not a derived constant. A systematic empirical study across domain types and corpus sizes is needed.</w:t>
      </w:r>
    </w:p>
    <w:p>
      <w:pPr>
        <w:pStyle w:val="ListParagraph"/>
        <w:numPr>
          <w:ilvl w:val="0"/>
          <w:numId w:val="2"/>
        </w:numPr>
        <w:spacing w:before="40" w:after="40"/>
      </w:pPr>
      <w:r>
        <w:rPr>
          <w:rFonts w:ascii="Arial" w:cs="Arial" w:eastAsia="Arial" w:hAnsi="Arial"/>
          <w:b/>
          <w:bCs/>
          <w:color w:val="1B3A5C"/>
          <w:sz w:val="21"/>
          <w:szCs w:val="21"/>
        </w:rPr>
        <w:t xml:space="preserve">Structured VI low-rank dimension k: </w:t>
      </w:r>
      <w:r>
        <w:rPr>
          <w:rFonts w:ascii="Arial" w:cs="Arial" w:eastAsia="Arial" w:hAnsi="Arial"/>
          <w:color w:val="1C1C1C"/>
          <w:sz w:val="21"/>
          <w:szCs w:val="21"/>
        </w:rPr>
        <w:t xml:space="preserve">The recommended k = 5–10 correlation directions for the structured variational approximation is based on general variational inference literature. Optimal k for LoRA adapter posteriors specifically has not been empirically characterized.</w:t>
      </w:r>
    </w:p>
    <w:p>
      <w:pPr>
        <w:pStyle w:val="ListParagraph"/>
        <w:numPr>
          <w:ilvl w:val="0"/>
          <w:numId w:val="2"/>
        </w:numPr>
        <w:spacing w:before="40" w:after="40"/>
      </w:pPr>
      <w:r>
        <w:rPr>
          <w:rFonts w:ascii="Arial" w:cs="Arial" w:eastAsia="Arial" w:hAnsi="Arial"/>
          <w:b/>
          <w:bCs/>
          <w:color w:val="1B3A5C"/>
          <w:sz w:val="21"/>
          <w:szCs w:val="21"/>
        </w:rPr>
        <w:t xml:space="preserve">EASM planning adapter sample efficiency: </w:t>
      </w:r>
      <w:r>
        <w:rPr>
          <w:rFonts w:ascii="Arial" w:cs="Arial" w:eastAsia="Arial" w:hAnsi="Arial"/>
          <w:color w:val="1C1C1C"/>
          <w:sz w:val="21"/>
          <w:szCs w:val="21"/>
        </w:rPr>
        <w:t xml:space="preserve">The planning adapter requires human-labeled decompositions for high-quality training. The minimum number of labeled examples needed for reliable planning across diverse query types has not been characterized.</w:t>
      </w:r>
    </w:p>
    <w:p>
      <w:pPr>
        <w:pStyle w:val="ListParagraph"/>
        <w:numPr>
          <w:ilvl w:val="0"/>
          <w:numId w:val="2"/>
        </w:numPr>
        <w:spacing w:before="40" w:after="40"/>
      </w:pPr>
      <w:r>
        <w:rPr>
          <w:rFonts w:ascii="Arial" w:cs="Arial" w:eastAsia="Arial" w:hAnsi="Arial"/>
          <w:b/>
          <w:bCs/>
          <w:color w:val="1B3A5C"/>
          <w:sz w:val="21"/>
          <w:szCs w:val="21"/>
        </w:rPr>
        <w:t xml:space="preserve">Synthesis context overflow quality: </w:t>
      </w:r>
      <w:r>
        <w:rPr>
          <w:rFonts w:ascii="Arial" w:cs="Arial" w:eastAsia="Arial" w:hAnsi="Arial"/>
          <w:color w:val="1C1C1C"/>
          <w:sz w:val="21"/>
          <w:szCs w:val="21"/>
        </w:rPr>
        <w:t xml:space="preserve">The hierarchical summarization fallback for context overflow has not been empirically validated. Whether important information is systematically lost in summarization and how this affects downstream synthesis accuracy is unknown.</w:t>
      </w:r>
    </w:p>
    <w:p>
      <w:pPr>
        <w:pStyle w:val="ListParagraph"/>
        <w:numPr>
          <w:ilvl w:val="0"/>
          <w:numId w:val="2"/>
        </w:numPr>
        <w:spacing w:before="40" w:after="40"/>
      </w:pPr>
      <w:r>
        <w:rPr>
          <w:rFonts w:ascii="Arial" w:cs="Arial" w:eastAsia="Arial" w:hAnsi="Arial"/>
          <w:b/>
          <w:bCs/>
          <w:color w:val="1B3A5C"/>
          <w:sz w:val="21"/>
          <w:szCs w:val="21"/>
        </w:rPr>
        <w:t xml:space="preserve">Laplace calibration inflation factor: </w:t>
      </w:r>
      <w:r>
        <w:rPr>
          <w:rFonts w:ascii="Arial" w:cs="Arial" w:eastAsia="Arial" w:hAnsi="Arial"/>
          <w:color w:val="1C1C1C"/>
          <w:sz w:val="21"/>
          <w:szCs w:val="21"/>
        </w:rPr>
        <w:t xml:space="preserve">The calibration inflation factor c_bootstrap = 1.25 for bootstrapped adapter uncertainty estimates is a heuristic. A principled method for estimating this factor from the quality of the Kronecker-factored approximation would be more reliable.</w:t>
      </w:r>
    </w:p>
    <w:p>
      <w:pPr>
        <w:spacing w:before="0" w:after="160"/>
      </w:pPr>
      <w:r>
        <w:t xml:space="preserve"/>
      </w:r>
    </w:p>
    <w:p>
      <w:r>
        <w:br w:type="page"/>
      </w:r>
    </w:p>
    <w:p>
      <w:pPr>
        <w:pStyle w:val="Heading1"/>
        <w:pBdr>
          <w:bottom w:val="single" w:color="2E86AB" w:sz="8" w:space="6"/>
        </w:pBdr>
        <w:spacing w:before="400" w:after="160"/>
      </w:pPr>
      <w:r>
        <w:rPr>
          <w:rFonts w:ascii="Arial" w:cs="Arial" w:eastAsia="Arial" w:hAnsi="Arial"/>
          <w:b/>
          <w:bCs/>
          <w:color w:val="1B3A5C"/>
          <w:sz w:val="36"/>
          <w:szCs w:val="36"/>
        </w:rPr>
        <w:t xml:space="preserve">Appendix A — Component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Depends On</w:t>
            </w:r>
          </w:p>
        </w:tc>
        <w:tc>
          <w:tcPr>
            <w:tcW w:type="dxa" w:w="39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Failure Consequence</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MRL Encoder + FAISS</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MRL encoder (frozen)</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Total routing failure; fallback to routing cache for known queries only</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Domain Projection Adapters</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Embedding space, routing error log</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Routing quality degrades for affected domains; system continues with reduced precision</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Bootstrap Registry</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External model ecosystem, quality benchmarks</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New experts require full training; creation pipeline continues</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Base Expert Models</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Embedding space, training corpus</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Domain coverage gap; affected queries get low-confidence responses</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BLoB Adapters</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Parent base expert, Two-NN rank, sub-domain corpus</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Sub-domain precision lost; MAP-initialized deterministic LoRA used as temporary fallback</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Laplace-LoRA Adapters</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Bootstrapped LoRA checkpoint, Kronecker-factored Hessian</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Uncertainty estimates for bootstrapped adapters unavailable; routing proceeds without adapter-level uncertainty</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Epistemic Uncertainty System</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TokUR, BLoB posteriors, OOD detectors, threshold MLPs</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Gap detection degrades; routing falls to proximity-only; thresholds fall back to global defaults</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EASM (Planning Mode)</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Base EASM model, planning LoRA adapter</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Query decomposition falls back to raw multi-vector encoding; routing continues with reduced expressiveness</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EASM (Synthesis Mode)</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Base EASM model, synthesis LoRA adapter, thought template library</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Multi-expert synthesis fails; system presents attributed expert outputs without integration; quality degrades</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Geometric Router</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Embedding space, FAISS, uncertainty system, EASM planning, threshold MLPs</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Double-buffer ensures queries always served by some index version</w:t>
            </w:r>
          </w:p>
        </w:tc>
      </w:tr>
      <w:tr>
        <w:tc>
          <w:tcPr>
            <w:tcW w:type="dxa" w:w="24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Expert Creation Pipeline</w:t>
            </w:r>
          </w:p>
        </w:tc>
        <w:tc>
          <w:tcPr>
            <w:tcW w:type="dxa" w:w="3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All components + bootstrap registry</w:t>
            </w:r>
          </w:p>
        </w:tc>
        <w:tc>
          <w:tcPr>
            <w:tcW w:type="dxa" w:w="39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System cannot close knowledge gaps; continues serving existing experts</w:t>
            </w:r>
          </w:p>
        </w:tc>
      </w:tr>
      <w:tr>
        <w:tc>
          <w:tcPr>
            <w:tcW w:type="dxa" w:w="24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Dynamic Learning Protocol</w:t>
            </w:r>
          </w:p>
        </w:tc>
        <w:tc>
          <w:tcPr>
            <w:tcW w:type="dxa" w:w="3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Base experts, BLoB adapters, K-FAC Fisher, EASM</w:t>
            </w:r>
          </w:p>
        </w:tc>
        <w:tc>
          <w:tcPr>
            <w:tcW w:type="dxa" w:w="39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System freezes; no improvement; adapter drift uncorrected; EASM alignment lags</w:t>
            </w:r>
          </w:p>
        </w:tc>
      </w:tr>
    </w:tbl>
    <w:p>
      <w:pPr>
        <w:spacing w:before="0" w:after="80"/>
      </w:pPr>
      <w:r>
        <w:t xml:space="preserve"/>
      </w:r>
    </w:p>
    <w:p>
      <w:pPr>
        <w:pStyle w:val="Heading1"/>
        <w:pBdr>
          <w:bottom w:val="single" w:color="2E86AB" w:sz="8" w:space="6"/>
        </w:pBdr>
        <w:spacing w:before="400" w:after="160"/>
      </w:pPr>
      <w:r>
        <w:rPr>
          <w:rFonts w:ascii="Arial" w:cs="Arial" w:eastAsia="Arial" w:hAnsi="Arial"/>
          <w:b/>
          <w:bCs/>
          <w:color w:val="1B3A5C"/>
          <w:sz w:val="36"/>
          <w:szCs w:val="36"/>
        </w:rPr>
        <w:t xml:space="preserve">Appendix B — Key Formulas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Formula</w:t>
            </w:r>
          </w:p>
        </w:tc>
        <w:tc>
          <w:tcPr>
            <w:tcW w:type="dxa" w:w="200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Symbol</w:t>
            </w:r>
          </w:p>
        </w:tc>
        <w:tc>
          <w:tcPr>
            <w:tcW w:type="dxa" w:w="3360"/>
            <w:tcBorders>
              <w:top w:val="single" w:color="BBCFDD" w:sz="1"/>
              <w:left w:val="single" w:color="BBCFDD" w:sz="1"/>
              <w:bottom w:val="single" w:color="BBCFDD" w:sz="1"/>
              <w:right w:val="single" w:color="BBCFDD"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Used In</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U_base = max(TokUR_fast_norm, sigmoid(D_M − θ_routing))</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U_base</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Base expert selection, Section 7.2 Step 4</w:t>
            </w:r>
          </w:p>
        </w:tc>
      </w:tr>
      <w:tr>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TokUR_fast = 1 − (p_1 / p_2)</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TokUR_fast</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Single-token routing approximation, Section 6.2</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D_M(q) = √[(q−μ)^T · Σ⁻¹ · (q−μ)]</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D_M</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Mahalanobis OOD signal, Section 6.2</w:t>
            </w:r>
          </w:p>
        </w:tc>
      </w:tr>
      <w:tr>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 = −N / Σᵢ log(d₂_i / d₁_i);  r = max(4, min(64, round(d̂ × 0.5)))</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 r</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Two-NN rank determination, Section 4.4</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q(θ) = N(μ, diag(σ²) + VV^T)</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Structured VI</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BLoB structured variational approximation, Section 4.2</w:t>
            </w:r>
          </w:p>
        </w:tc>
      </w:tr>
      <w:tr>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R_i = ‖U_i^T · q‖ / ‖q‖</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R_i</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Singular vector relevance score, Section 4.6</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S_i = α·(1−d_centroid_i) + (1−α)·R_i</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S_i</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Combined adapter selection score, Section 7.2 Step 5</w:t>
            </w:r>
          </w:p>
        </w:tc>
      </w:tr>
      <w:tr>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θ = arccos(‖V_pre^T · V_post‖_F / k)</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θ</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Angular rotation pre-screening, Section 4.6 Use 2</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centroid_new = (1−α)·centroid_old + α·batch_centroid</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Streaming centroid</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Sections 1.4 and 9.2</w:t>
            </w:r>
          </w:p>
        </w:tc>
      </w:tr>
      <w:tr>
        <w:tc>
          <w:tcPr>
            <w:tcW w:type="dxa" w:w="4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F_layer ≈ A_layer ⊗ G_layer</w:t>
            </w:r>
          </w:p>
        </w:tc>
        <w:tc>
          <w:tcPr>
            <w:tcW w:type="dxa" w:w="200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K-FAC Fisher</w:t>
            </w:r>
          </w:p>
        </w:tc>
        <w:tc>
          <w:tcPr>
            <w:tcW w:type="dxa" w:w="3360"/>
            <w:tcBorders>
              <w:top w:val="single" w:color="BBCFDD" w:sz="1"/>
              <w:left w:val="single" w:color="BBCFDD" w:sz="1"/>
              <w:bottom w:val="single" w:color="BBCFDD" w:sz="1"/>
              <w:right w:val="single" w:color="BBCFDD"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Online Kronecker-factored EWC, Section 9.3</w:t>
            </w:r>
          </w:p>
        </w:tc>
      </w:tr>
      <w:tr>
        <w:tc>
          <w:tcPr>
            <w:tcW w:type="dxa" w:w="4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b/>
                <w:bCs/>
                <w:color w:val="1B3A5C"/>
                <w:sz w:val="20"/>
                <w:szCs w:val="20"/>
              </w:rPr>
              <w:t xml:space="preserve">L_total = L_task + λ·Σ_layer[(A⊗G) ☉ (θ−θ*)²]</w:t>
            </w:r>
          </w:p>
        </w:tc>
        <w:tc>
          <w:tcPr>
            <w:tcW w:type="dxa" w:w="200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L_EWC</w:t>
            </w:r>
          </w:p>
        </w:tc>
        <w:tc>
          <w:tcPr>
            <w:tcW w:type="dxa" w:w="3360"/>
            <w:tcBorders>
              <w:top w:val="single" w:color="BBCFDD" w:sz="1"/>
              <w:left w:val="single" w:color="BBCFDD" w:sz="1"/>
              <w:bottom w:val="single" w:color="BBCFDD" w:sz="1"/>
              <w:right w:val="single" w:color="BBCFDD" w:sz="1"/>
            </w:tcBorders>
            <w:shd w:fill="EAF4FB" w:val="clear"/>
            <w:tcMar>
              <w:top w:type="dxa" w:w="80"/>
              <w:left w:type="dxa" w:w="120"/>
              <w:bottom w:type="dxa" w:w="80"/>
              <w:right w:type="dxa" w:w="120"/>
            </w:tcMar>
          </w:tcPr>
          <w:p>
            <w:r>
              <w:rPr>
                <w:rFonts w:ascii="Arial" w:cs="Arial" w:eastAsia="Arial" w:hAnsi="Arial"/>
                <w:color w:val="1C1C1C"/>
                <w:sz w:val="20"/>
                <w:szCs w:val="20"/>
              </w:rPr>
              <w:t xml:space="preserve">EWC regularization loss, Section 9.3</w:t>
            </w:r>
          </w:p>
        </w:tc>
      </w:tr>
    </w:tbl>
    <w:p>
      <w:pPr>
        <w:spacing w:before="0" w:after="200"/>
      </w:pPr>
      <w:r>
        <w:t xml:space="preserve"/>
      </w:r>
    </w:p>
    <w:p>
      <w:pPr>
        <w:pBdr>
          <w:top w:val="single" w:color="2E86AB" w:sz="6" w:space="8"/>
        </w:pBdr>
        <w:spacing w:before="200" w:after="60"/>
        <w:jc w:val="center"/>
      </w:pPr>
      <w:r>
        <w:rPr>
          <w:rFonts w:ascii="Arial" w:cs="Arial" w:eastAsia="Arial" w:hAnsi="Arial"/>
          <w:i/>
          <w:iCs/>
          <w:color w:val="5A6A7A"/>
          <w:sz w:val="20"/>
          <w:szCs w:val="20"/>
        </w:rPr>
        <w:t xml:space="preserve">End of Architectural Specification — DEMoE v4.0</w:t>
      </w:r>
    </w:p>
    <w:p>
      <w:pPr>
        <w:spacing w:before="0" w:after="0"/>
        <w:jc w:val="center"/>
      </w:pPr>
      <w:r>
        <w:rPr>
          <w:rFonts w:ascii="Arial" w:cs="Arial" w:eastAsia="Arial" w:hAnsi="Arial"/>
          <w:color w:val="5A6A7A"/>
          <w:sz w:val="19"/>
          <w:szCs w:val="19"/>
        </w:rPr>
        <w:t xml:space="preserve">Dynamic Expanding Mixture of Experts  •  Complete Design Document  •  Version 4.0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6"/>
      </w:pBdr>
      <w:tabs>
        <w:tab w:val="right" w:pos="9360"/>
      </w:tabs>
      <w:spacing w:before="80"/>
    </w:pPr>
    <w:r>
      <w:rPr>
        <w:rFonts w:ascii="Arial" w:cs="Arial" w:eastAsia="Arial" w:hAnsi="Arial"/>
        <w:color w:val="5A6A7A"/>
        <w:sz w:val="18"/>
        <w:szCs w:val="18"/>
      </w:rPr>
      <w:t xml:space="preserve">Confidential — Architectural Research Document</w:t>
    </w:r>
    <w:r>
      <w:rPr>
        <w:rFonts w:ascii="Arial" w:cs="Arial" w:eastAsia="Arial" w:hAnsi="Arial"/>
        <w:color w:val="5A6A7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6"/>
      </w:pBdr>
      <w:spacing w:after="120"/>
    </w:pPr>
    <w:r>
      <w:rPr>
        <w:rFonts w:ascii="Arial" w:cs="Arial" w:eastAsia="Arial" w:hAnsi="Arial"/>
        <w:color w:val="5A6A7A"/>
        <w:sz w:val="18"/>
        <w:szCs w:val="18"/>
      </w:rPr>
      <w:t xml:space="preserve">Dynamic Expanding Mixture of Experts  —  </w:t>
    </w:r>
    <w:r>
      <w:rPr>
        <w:rFonts w:ascii="Arial" w:cs="Arial" w:eastAsia="Arial" w:hAnsi="Arial"/>
        <w:i/>
        <w:iCs/>
        <w:color w:val="5A6A7A"/>
        <w:sz w:val="18"/>
        <w:szCs w:val="18"/>
      </w:rPr>
      <w:t xml:space="preserve">Full Architectural Design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2026-02-20T18:43:29.072Z</dcterms:created>
  <dcterms:modified xsi:type="dcterms:W3CDTF">2026-02-20T18:43:29.073Z</dcterms:modified>
</cp:coreProperties>
</file>

<file path=docProps/custom.xml><?xml version="1.0" encoding="utf-8"?>
<Properties xmlns="http://schemas.openxmlformats.org/officeDocument/2006/custom-properties" xmlns:vt="http://schemas.openxmlformats.org/officeDocument/2006/docPropsVTypes"/>
</file>