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Energy Plus Savings Estimator</w:t>
      </w:r>
    </w:p>
    <w:p>
      <w:pPr>
        <w:spacing w:after="40"/>
      </w:pPr>
      <w:r>
        <w:rPr>
          <w:color w:val="8A6D2B"/>
          <w:sz w:val="26"/>
          <w:szCs w:val="26"/>
        </w:rPr>
        <w:t xml:space="preserve">Technical Specification — Variables, Assumptions, and the Complete Calculation Model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Reference build: ep-calc-v18.html · United States, Canada, México · This document captures everything needed to rebuild the calculator from scratch.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and design philosophy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estimator turns a single input — a facility’s annual electricity spend — into a conservative, defensible range of annual savings, then defers the precise figure to a human "22-Minute Facility Review." Every modelling choice below follows from a small set of presuppositions. If you rebuild the calculator, honor these first; the numbers are downstream of them.</w:t>
      </w:r>
    </w:p>
    <w:p>
      <w:pPr>
        <w:pStyle w:val="Heading2"/>
      </w:pPr>
      <w:r>
        <w:t xml:space="preserve">Core presuppositions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Percentage-of-bill model. Every savings stream is computed as a fraction of the user’s entered annual spend. The absolute electricity rate ($/kWh) is therefore never an input — it is already baked into the bill. This makes the model currency- and country-neutral at its core.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range, not a point. Each stream produces a floor and a ceiling. The displayed result is floor → ceiling. The floor is deliberately conservative; the ceiling is the optimistic-but-plausible bound.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Understate by design. Wherever a choice exists, the model picks the assumption that lowers the estimate (low end of count buckets, conservative stream floors). The stated goal: the verified number should beat the estimate.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harmonization is universal. The harmonization (power-quality) floor is physics, identical in any country, and is always included. Cooling, demand, lighting, motors, heating, rate negotiation, and power factor are conditional streams.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Credibility before persuasion. The front-end cites the engineering standards the work meets (IEEE 519 power quality, ASHRAE HVAC, ISO). Consumption-statistics agencies (DOE/EIA in the US, NRCan/StatCan in Canada, CONUEE in México) are cited only as the calibration source for the percentage shares.</w:t>
      </w:r>
    </w:p>
    <w:p>
      <w:pPr>
        <w:pStyle w:val="Heading1"/>
      </w:pPr>
      <w:r>
        <w:t xml:space="preserve">2. The savings model (compute)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Let S = annual electricity spend. Two pools are derived first, then each stream draws from them. All stream outputs are dollars per year.</w:t>
      </w:r>
    </w:p>
    <w:p>
      <w:pPr>
        <w:pStyle w:val="Heading2"/>
      </w:pPr>
      <w:r>
        <w:t xml:space="preserve">2.1 Pools</w:t>
      </w:r>
    </w:p>
    <w:p>
      <w:pPr>
        <w:pBdr>
          <w:left w:val="single" w:color="8A6D2B" w:sz="18" w:space="8"/>
        </w:pBdr>
        <w:shd w:fill="F4F2EE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harmo  = harmoRate × S                    // harmoRate = 0.09 (always included)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H      = hvacShare × S                     // hvacShare = 0.40  (HVAC pool)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coolEff = (heating is GAS) ? 1.0 : coolShare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      = H × coolEff                        // cooling pool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He     = H × (1 − coolEff)                  // heating pool</w:t>
      </w:r>
    </w:p>
    <w:p>
      <w:pPr>
        <w:pBdr>
          <w:left w:val="single" w:color="8A6D2B" w:sz="18" w:space="8"/>
        </w:pBdr>
        <w:shd w:fill="F4F2EE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coolShare = max(stateCool, coolMin) / 100   // region cooling %, floored by facility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Gas heating sets coolEff = 1.0, so the entire electric HVAC pool is treated as cooling and the heating pool is zero. Electric heating splits the pool by coolShare.</w:t>
      </w:r>
    </w:p>
    <w:p>
      <w:pPr>
        <w:pStyle w:val="Heading2"/>
      </w:pPr>
      <w:r>
        <w:t xml:space="preserve">2.2 Streams (floor / ceiling)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Ceiling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Harmonization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 × 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 × 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× 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× 0.55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tCool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Heating — known resistance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× 0.80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tHeat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Heating — known heat pump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× 0.50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tHeat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Heating — "not sure" (bracket)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× 0.50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× 0.80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tHeat on (default)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 × demPortion × 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battery? demPortion×S : floor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tDem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Lighting (outdoor/off-grid)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OUTDOORf × S × litMult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OUTDOORc × S × litMult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tLit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negotiation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0.025 × 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 × 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tNego on (deregulated)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motor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 × demPortion × S × 0.20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 × demPortion × S × 0.50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tMot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pfShare × S × 0.60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pfShare × S × 0.90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MX or CA, PF active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litMult = 1.0 for off-grid solar lighting, 0.88 for grid-tied. COOL_FLOOR = 0.15, COOL_CEIL = 0.55. HEAT.heatpump = 0.50, HEAT.resistance = 0.80.</w:t>
      </w:r>
    </w:p>
    <w:p>
      <w:pPr>
        <w:pStyle w:val="Heading2"/>
      </w:pPr>
      <w:r>
        <w:t xml:space="preserve">2.3 Combining demand and totals</w:t>
      </w:r>
    </w:p>
    <w:p>
      <w:pPr>
        <w:pBdr>
          <w:left w:val="single" w:color="8A6D2B" w:sz="18" w:space="8"/>
        </w:pBdr>
        <w:shd w:fill="F4F2EE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demPool      = demPortion × S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combDemFloor = demFloor + motFloor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combDemCeil  = min(demCeil + motCeil, demPool)   // capped at the demand pool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TOTAL floor  = nego_f + harmo + cool_f + combDemFloor + lit_f + pf_f + heat_f</w:t>
      </w:r>
    </w:p>
    <w:p>
      <w:pPr>
        <w:pBdr>
          <w:left w:val="single" w:color="8A6D2B" w:sz="18" w:space="8"/>
        </w:pBdr>
        <w:shd w:fill="F4F2EE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TOTAL ceil   = nego_c + harmo + cool_c + heat_c     + combDemCeil + lit_c + pf_c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The percentage shown ("X% to Y% of your annual bill") is TOTAL_floor/S to TOTAL_ceil/S.</w:t>
      </w:r>
    </w:p>
    <w:p>
      <w:pPr>
        <w:pStyle w:val="Heading1"/>
      </w:pPr>
      <w:r>
        <w:t xml:space="preserve">3. Heating model (COP logic)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Heating savings equal the heating pool He multiplied by an efficiency-gain fraction derived from the coefficient of performance (COP): savings fraction = 1 − COP_baseline / COP_new. The two constants encode this: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HEAT.resistance = 0.80 — replacing electric resistance (COP ≈ 1) yields ~80% heating-energy reduction.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HEAT.heatpump = 0.50 — replacing an efficient COP-3 heat pump yields ~50% (1 − 3/6).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Stage-3 question "How does your facility heat today?" sets heatComp / tHeat: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heatComp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 on math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coolEff = 1.0 (all HVAC = cooling); no heating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pump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heatpump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only: He × 0.50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 resistance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only: He × 0.80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I’m not sure (default)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BRACKET: floor He × 0.50, ceil He × 0.80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Rationale: a facility on gas would know (separate bill), so "not sure" assumes electric heat and brackets the savings between an efficient heat pump (low) and resistance (high). He is climate-weighted through coolShare, so cold regions get a larger heating bracket automatically.</w:t>
      </w:r>
    </w:p>
    <w:p>
      <w:pPr>
        <w:pStyle w:val="Heading1"/>
      </w:pPr>
      <w:r>
        <w:t xml:space="preserve">4. Facility count, portfolio, and qualification</w:t>
      </w:r>
    </w:p>
    <w:p>
      <w:pPr>
        <w:pStyle w:val="Heading2"/>
      </w:pPr>
      <w:r>
        <w:t xml:space="preserve">4.1 Count buckets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user picks how many similar facilities they operate. Each bucket carries a low and high end; the low end drives qualification, the [low, high] span drives the portfolio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 one for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to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to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to 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or more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</w:tbl>
    <w:p>
      <w:pPr>
        <w:pStyle w:val="Heading2"/>
      </w:pPr>
      <w:r>
        <w:t xml:space="preserve">4.2 Spend tiers and turnkey qualification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qualifying driver is per-facility MONTHLY spend = S / 12. The lower the monthly spend, the more sites are needed for full turnkey ("done for you") to pay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Per-facility monthly spend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sites for turnkey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if below min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$1,500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(equipment-only)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equipment_only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 – $1,999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turnkey_warm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$2,000 – $3,499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turnkey_warm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$3,500 – $4,999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turnkey_warm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 and 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turnkey_warm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Three states result: equipment_only (under $1,500 — self-install messaging, DIY SMS CTA, no turnkey language); turnkey_fit (spend qualifies AND count ≥ min); turnkey_warm (spend qualifies but count below min — full turnkey kept, candor note added). $1,500/mo is the only hard gate.</w:t>
      </w:r>
    </w:p>
    <w:p>
      <w:pPr>
        <w:pStyle w:val="Heading2"/>
      </w:pPr>
      <w:r>
        <w:t xml:space="preserve">4.3 Portfolio range</w:t>
      </w:r>
    </w:p>
    <w:p>
      <w:pPr>
        <w:pBdr>
          <w:left w:val="single" w:color="8A6D2B" w:sz="18" w:space="8"/>
        </w:pBdr>
        <w:shd w:fill="F4F2EE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portfolioFloor = perFacilityFloor × lowEndCount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portfolioCeil  = perFacilityCeil  × highEndCount</w:t>
      </w:r>
    </w:p>
    <w:p>
      <w:pPr>
        <w:pBdr>
          <w:left w:val="single" w:color="8A6D2B" w:sz="18" w:space="8"/>
        </w:pBdr>
        <w:shd w:fill="F4F2EE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// e.g. "10 to 19": floor × 10  →  ceil × 19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When count &gt; 1, the result shows the portfolio total as the hero figure and the per-facility figure as a secondary block. Multi-state portfolios are flagged for a tailored review (no per-state portfolio math in this version).</w:t>
      </w:r>
    </w:p>
    <w:p>
      <w:pPr>
        <w:pStyle w:val="Heading1"/>
      </w:pPr>
      <w:r>
        <w:t xml:space="preserve">5. Escalation and the 5/10-year projection</w:t>
      </w:r>
    </w:p>
    <w:p>
      <w:pPr>
        <w:pBdr>
          <w:left w:val="single" w:color="8A6D2B" w:sz="18" w:space="8"/>
        </w:pBdr>
        <w:shd w:fill="F4F2EE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escalFactor(rate, years) = ((1 + rate)^years − 1) / rate     // compounding annuity sum</w:t>
      </w:r>
    </w:p>
    <w:p>
      <w:pPr>
        <w:pBdr>
          <w:left w:val="single" w:color="8A6D2B" w:sz="18" w:space="8"/>
        </w:pBdr>
        <w:shd w:fill="F4F2EE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cum-5yr  = heroSavings × escalFactor(rate, 5)</w:t>
      </w:r>
    </w:p>
    <w:p>
      <w:pPr>
        <w:pBdr>
          <w:left w:val="single" w:color="8A6D2B" w:sz="18" w:space="8"/>
        </w:pBdr>
        <w:shd w:fill="F4F2EE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cum-10yr = heroSavings × escalFactor(rate, 10)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rate is the region’s annual electricity-rate escalation, looked up by tier. Figures ≥ $1,000,000 render as $X.XXXm, ≥ $1,000 as $Xk.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5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CA*, HI, MA, NY, NJ, CT (US high-cost)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MD, DC, IL, PA, TX, VA, RI, NH, ME, DE, VT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for unlisted US states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WA, ID, MT, ND, SD, NE, WY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volatile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Puerto Rico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México (all CFE regions)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ca-on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Ontario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ca-qc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Québec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ca-mb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Manitoba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ca-sk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Saskatchewan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*CA = California here, not Canada. Canadian provinces use the ca-* keys. Escalation only affects the projection boxes, not the headline savings.</w:t>
      </w:r>
    </w:p>
    <w:p>
      <w:r>
        <w:br w:type="page"/>
      </w:r>
    </w:p>
    <w:p>
      <w:pPr>
        <w:pStyle w:val="Heading1"/>
      </w:pPr>
      <w:r>
        <w:t xml:space="preserve">6. Global parameters and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hvacShare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HVAC share of the total electric bill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harmoRate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Harmonization (power-quality) floor, share of bill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Facility refrigeration floor for cooling share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stateCool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by region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Cooling % of HVAC for the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demPortion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Demand-charge share of bill (engine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Demand-reduction floor fraction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 per kW (display-only, implied-kW readout)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demBattery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true, demand ceiling = full demand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offgrid → litMult 1.0; grid → 0.88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COOL_FLOOR / COOL_CEIL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 / 0.55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Cooling savings rate bounds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HEAT.heatpump / .resistance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 / 0.80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Heating savings rate by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 floor / ceil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0.025 / 0.06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Rate-negotiation bounds (deregulated)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floor / ceil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 / 0.50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Smart-motor multipliers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 floor / ceil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 / 0.90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Power-factor recovery bounds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mxPFShare / caPFShare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 / 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 share of bill (MX / CA)</w:t>
            </w:r>
          </w:p>
        </w:tc>
      </w:tr>
    </w:tbl>
    <w:p>
      <w:pPr>
        <w:pStyle w:val="Heading2"/>
      </w:pPr>
      <w:r>
        <w:t xml:space="preserve">6.1 Default stream toggles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tCool = on, tHeat = on, tDem = on, tLit = on, tMot = off, tNego = off. heatComp = resistance, heatChoice = "I’m not sure". Country default = US, language = English.</w:t>
      </w:r>
    </w:p>
    <w:p>
      <w:pPr>
        <w:pStyle w:val="Heading1"/>
      </w:pPr>
      <w:r>
        <w:t xml:space="preserve">7. Per-facility data tables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Sixteen facility types: ind (industrial/mfg), datactr (data center), health (healthcare), cold (cold storage), research (lab/campus), super (supermarket), edu (education), whse (warehouse), hotel, multi (multifamily), office, fitness, retail, qsr (quick-serve), cstore (convenience), mixed. The math-relevant per-facility tables follow.</w:t>
      </w:r>
    </w:p>
    <w:p>
      <w:pPr>
        <w:pStyle w:val="Heading2"/>
      </w:pPr>
      <w:r>
        <w:t xml:space="preserve">7.1 Outdoor / off-grid lighting share (OUTDOOR: floor f, ceil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 (floor)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 (ceil)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qsr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</w:t>
            </w:r>
          </w:p>
        </w:tc>
      </w:tr>
    </w:tbl>
    <w:p>
      <w:pPr>
        <w:pStyle w:val="Heading2"/>
      </w:pPr>
      <w:r>
        <w:t xml:space="preserve">7.2 Motor share (MOTOR.ms) — eligible facilities only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Smart-motor stream is offered only for ind, cold, whse, health, and only when annual spend ≥ $150,000.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</w:tr>
    </w:tbl>
    <w:p>
      <w:pPr>
        <w:pStyle w:val="Heading2"/>
      </w:pPr>
      <w:r>
        <w:t xml:space="preserve">7.3 Square-footage rate (SQFT_RATE, $/sq ft) — used to estimate floor area for the US Section 179D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2000"/>
        <w:gridCol w:w="2680"/>
        <w:gridCol w:w="2000"/>
      </w:tblGrid>
      <w:tr>
        <w:trPr>
          <w:tblHeader/>
        </w:trP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$/sq ft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$/sq ft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2.80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2.60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4.50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estimateSqft(key, S) = round(S / rate) snapped to 1000/500/100. Section 179D deduction shown up to $5.94/sq ft (US only).</w:t>
      </w:r>
    </w:p>
    <w:p>
      <w:r>
        <w:br w:type="page"/>
      </w:r>
    </w:p>
    <w:p>
      <w:pPr>
        <w:pStyle w:val="Heading1"/>
      </w:pPr>
      <w:r>
        <w:t xml:space="preserve">8. Country-specific behavior</w:t>
      </w:r>
    </w:p>
    <w:p>
      <w:pPr>
        <w:pStyle w:val="Heading2"/>
      </w:pPr>
      <w:r>
        <w:t xml:space="preserve">8.1 United States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Location: 50 states + Puerto Rico. Each state has a cooling % (STATE_COOL) and an escalation tier (ESC_TIER).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Rate-negotiation stream ON for deregulated states (DEREG_STATES: CT, DE, IL, ME, MD, MA, MI, NH, NJ, NY, OH, PA, RI, TX, DC). OFF for regulated states and Puerto Rico.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3 = Section 179D deduction (sq-ft slider). Currency USD. Language English.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STATE_COOL (cooling % of HVAC): AZ/TX/FL/LA/HI/PR 80; AL/AR/GA/KY/MS/NV/NM/NC/OK/SC/TN 65; CA/DE/DC/KS/MO/OR/VA/WA/WV/MD 50; CO/CT/IL/IN/IA/MA/MI*/NE/NJ/NY/OH/PA/RI/UT 35; AK/ID/ME/MN/MT/NH/ND/SD/VT/WI/WY 22. (Lower = colder/more heating.)</w:t>
      </w:r>
    </w:p>
    <w:p>
      <w:pPr>
        <w:pStyle w:val="Heading2"/>
      </w:pPr>
      <w:r>
        <w:t xml:space="preserve">8.2 México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Location: 6 CFE regions. Each sets cooling %, electric-heating flag, demand share, and a description. Tariff (PDBT/GDMTO/GDMTH) sets demand share; auto-detected from spend and facility type.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Power-factor stream ON (mxPFShare 0.08) — CFE penalizes low PF. Rate negotiation OFF (CFE is sole supplier).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Currency shown in USD with a peso equivalent line (mxFxRate, default 17.50 MXN/USD). Language Spanish. No Section 179D.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CFE 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cool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elec heat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demand 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Occidente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Centro-Norte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Sur-Sureste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Tariff demand shares: PDBT 0.25, GDMTO 0.35, GDMTH 0.45.</w:t>
      </w:r>
    </w:p>
    <w:p>
      <w:pPr>
        <w:pStyle w:val="Heading2"/>
      </w:pPr>
      <w:r>
        <w:t xml:space="preserve">8.3 Canada (launch: Ontario, Québec, Manitoba, Saskatchewan)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Phased rollout: only the four launch provinces run the calculator. Other provinces/territories show an "expanding soon" message and a capture CTA; no estimate is produced.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Power-factor stream ON for all four (caPFShare 0.05): ON/QC penalize below 0.90 PF; MB/SK bill demand on kVA (continuous PF incentive). Rate negotiation ON for Ontario (competitive market) 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Cooling share is the editable auto-assumption (defers to a facility’s refrigeration floor). Currency CAD. Language English (French deferred). Stage 3 = CCA 43.1/43.2 + Clean-Tech-ITC note instead of Section 179D.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800"/>
        <w:gridCol w:w="2600"/>
        <w:gridCol w:w="12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cool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(nego)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competitive (on)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Québec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regulated (off)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Manitoba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regulated (off)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Saskatchewan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regulated (off)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Cooling shares are calibrated to the US STATE_COOL scale (floor 22 for cold climates; southern Ontario 30), confirmed against ECCC degree-day data, and editable in-app.</w:t>
      </w:r>
    </w:p>
    <w:p>
      <w:pPr>
        <w:pStyle w:val="Heading1"/>
      </w:pPr>
      <w:r>
        <w:t xml:space="preserve">9. User flow and stages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0 — Country: choose US / Canada / México (flag cards; Canada flagged "4 provinces").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1 — Facility type: pick one of the 16 types (sets per-facility cooling floor, lighting, motor eligibility, copy).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2 — Inputs (progressive disclosure): (1) monthly spend per facility via a two-step band selector; then (2) facility count chips appear; then (3) location (state / province / CFE region) appears. A live signal box explains turnkey vs equipment-only fit.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3 — Final question: square footage / 179D (US), or CCA-ITC note (Canada), or nothing extra (México); then "How do you heat today?" (sets the heating model).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Result: animated reveal of the floor→ceiling range, % of bill, 5/10-year projection, per-facility vs portfolio, narrative, and CTA (turnkey booking + SMS, or equipment-only DIY SMS).</w:t>
      </w:r>
    </w:p>
    <w:p>
      <w:pPr>
        <w:pStyle w:val="Heading2"/>
      </w:pPr>
      <w:r>
        <w:t xml:space="preserve">9.1 Result-summary object (for downstream capture)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 result, state.resultSummary exposes: state (equipment_only / turnkey_fit / turnkey_warm), countLabel, lowEndCount, highEndCount, spendTier, perFacilityMonthly, singleFacilityFloor/Ceil, portfolioFloor/Ceil — ready for a HubSpot-style capture step.</w:t>
      </w:r>
    </w:p>
    <w:p>
      <w:pPr>
        <w:pStyle w:val="Heading1"/>
      </w:pPr>
      <w:r>
        <w:t xml:space="preserve">10. Data confidence and rebuild notes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 STATE_COOL and ESC tiers are internal calibrations to DOE/EIA building data. Mexico CFE regions/tariffs are modeled estimates. Canada launch-province data: market structure and PF penalties are tariff-verified (high confidence); cooling shares are US-scale calibrations confirmed by ECCC degree days; escalation figures are primary-source utility rate histories (medium confidence, conservative).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motion, accessibility (WCAG AA keyboard focus + contrast), and bilingual EN/ES strings are part of the front end but do not affect the math.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 rebuild: implement the pools and streams in Section 2, the constants in Section 6, the per-facility tables in Section 7, the region tables in Section 8, the count/qualification logic in Section 4, and the escalation in Section 5. Everything else (animation, copy, layout) is presentation.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End of specification.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Energy Plus Savings Estimator — Technical Specification  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2A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8A6D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2026-06-10T22:08:52.342Z</dcterms:created>
  <dcterms:modified xsi:type="dcterms:W3CDTF">2026-06-10T22:08:52.343Z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