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7A459F1C"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reviewers 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a number of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2601D2F" w:rsidR="00A45B09" w:rsidRPr="00A45B09" w:rsidRDefault="0020180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Thank you,</w:t>
      </w:r>
      <w:r w:rsidR="00F158C1">
        <w:rPr>
          <w:rFonts w:ascii="Times New Roman" w:eastAsia="Times New Roman" w:hAnsi="Times New Roman" w:cs="Times New Roman"/>
          <w:i/>
          <w:sz w:val="24"/>
          <w:szCs w:val="24"/>
          <w:lang w:eastAsia="en-GB"/>
        </w:rPr>
        <w:t xml:space="preserve"> </w:t>
      </w:r>
      <w:r w:rsidR="00A45B09">
        <w:rPr>
          <w:rFonts w:ascii="Times New Roman" w:eastAsia="Times New Roman" w:hAnsi="Times New Roman" w:cs="Times New Roman"/>
          <w:i/>
          <w:sz w:val="24"/>
          <w:szCs w:val="24"/>
          <w:lang w:eastAsia="en-GB"/>
        </w:rPr>
        <w:t>th</w:t>
      </w:r>
      <w:r w:rsidR="00F158C1">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353A3632" w:rsidR="00A45B09"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27AC03CD" w14:textId="468F308C" w:rsidR="006B23B8" w:rsidRPr="006B23B8" w:rsidRDefault="006B23B8" w:rsidP="006B23B8">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I have adjusted my description as follows to properly attribute the works of these </w:t>
      </w:r>
      <w:r w:rsidR="00EF221A">
        <w:rPr>
          <w:rFonts w:ascii="Times New Roman" w:eastAsia="Times New Roman" w:hAnsi="Times New Roman" w:cs="Times New Roman"/>
          <w:i/>
          <w:sz w:val="24"/>
          <w:szCs w:val="24"/>
          <w:lang w:eastAsia="en-GB"/>
        </w:rPr>
        <w:t>P</w:t>
      </w:r>
      <w:r>
        <w:rPr>
          <w:rFonts w:ascii="Times New Roman" w:eastAsia="Times New Roman" w:hAnsi="Times New Roman" w:cs="Times New Roman"/>
          <w:i/>
          <w:sz w:val="24"/>
          <w:szCs w:val="24"/>
          <w:lang w:eastAsia="en-GB"/>
        </w:rPr>
        <w:t>hysi</w:t>
      </w:r>
      <w:r w:rsidR="00EF221A">
        <w:rPr>
          <w:rFonts w:ascii="Times New Roman" w:eastAsia="Times New Roman" w:hAnsi="Times New Roman" w:cs="Times New Roman"/>
          <w:i/>
          <w:sz w:val="24"/>
          <w:szCs w:val="24"/>
          <w:lang w:eastAsia="en-GB"/>
        </w:rPr>
        <w:t>c</w:t>
      </w:r>
      <w:r>
        <w:rPr>
          <w:rFonts w:ascii="Times New Roman" w:eastAsia="Times New Roman" w:hAnsi="Times New Roman" w:cs="Times New Roman"/>
          <w:i/>
          <w:sz w:val="24"/>
          <w:szCs w:val="24"/>
          <w:lang w:eastAsia="en-GB"/>
        </w:rPr>
        <w:t>i</w:t>
      </w:r>
      <w:r w:rsidR="00EF221A">
        <w:rPr>
          <w:rFonts w:ascii="Times New Roman" w:eastAsia="Times New Roman" w:hAnsi="Times New Roman" w:cs="Times New Roman"/>
          <w:i/>
          <w:sz w:val="24"/>
          <w:szCs w:val="24"/>
          <w:lang w:eastAsia="en-GB"/>
        </w:rPr>
        <w:t>s</w:t>
      </w:r>
      <w:r>
        <w:rPr>
          <w:rFonts w:ascii="Times New Roman" w:eastAsia="Times New Roman" w:hAnsi="Times New Roman" w:cs="Times New Roman"/>
          <w:i/>
          <w:sz w:val="24"/>
          <w:szCs w:val="24"/>
          <w:lang w:eastAsia="en-GB"/>
        </w:rPr>
        <w:t xml:space="preserve">ts in contributing to these </w:t>
      </w:r>
      <w:r w:rsidR="00EF221A">
        <w:rPr>
          <w:rFonts w:ascii="Times New Roman" w:eastAsia="Times New Roman" w:hAnsi="Times New Roman" w:cs="Times New Roman"/>
          <w:i/>
          <w:sz w:val="24"/>
          <w:szCs w:val="24"/>
          <w:lang w:eastAsia="en-GB"/>
        </w:rPr>
        <w:t>l</w:t>
      </w:r>
      <w:r>
        <w:rPr>
          <w:rFonts w:ascii="Times New Roman" w:eastAsia="Times New Roman" w:hAnsi="Times New Roman" w:cs="Times New Roman"/>
          <w:i/>
          <w:sz w:val="24"/>
          <w:szCs w:val="24"/>
          <w:lang w:eastAsia="en-GB"/>
        </w:rPr>
        <w:t>aws</w:t>
      </w:r>
      <w:r w:rsidRPr="006B23B8">
        <w:rPr>
          <w:rFonts w:ascii="Times New Roman" w:eastAsia="Times New Roman" w:hAnsi="Times New Roman" w:cs="Times New Roman"/>
          <w:i/>
          <w:sz w:val="24"/>
          <w:szCs w:val="24"/>
          <w:lang w:eastAsia="en-GB"/>
        </w:rPr>
        <w:t>.</w:t>
      </w:r>
    </w:p>
    <w:p w14:paraId="34E1E21C" w14:textId="0C4C4FB8" w:rsidR="00A45B09" w:rsidRDefault="00A45B09" w:rsidP="00A45B09">
      <w:pPr>
        <w:spacing w:after="0" w:line="360" w:lineRule="auto"/>
        <w:rPr>
          <w:rFonts w:ascii="Times New Roman" w:eastAsia="Times New Roman" w:hAnsi="Times New Roman" w:cs="Times New Roman"/>
          <w:i/>
          <w:sz w:val="24"/>
          <w:szCs w:val="24"/>
          <w:lang w:eastAsia="en-GB"/>
        </w:rPr>
      </w:pPr>
    </w:p>
    <w:p w14:paraId="290462E1" w14:textId="073CDFAB" w:rsid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a non-scattering medium, the probability of absorption events occurring means incident light intensity (</w:t>
      </w:r>
      <w:r w:rsidRPr="006B23B8">
        <w:rPr>
          <w:rFonts w:ascii="Times New Roman" w:eastAsia="Times New Roman" w:hAnsi="Times New Roman" w:cs="Times New Roman"/>
          <w:i/>
          <w:iCs/>
          <w:color w:val="FF0000"/>
          <w:sz w:val="24"/>
          <w:szCs w:val="24"/>
          <w:lang w:eastAsia="en-GB"/>
        </w:rPr>
        <w:t>I</w:t>
      </w:r>
      <w:r w:rsidRPr="006B23B8">
        <w:rPr>
          <w:rFonts w:ascii="Times New Roman" w:eastAsia="Times New Roman" w:hAnsi="Times New Roman" w:cs="Times New Roman"/>
          <w:i/>
          <w:iCs/>
          <w:color w:val="FF0000"/>
          <w:sz w:val="24"/>
          <w:szCs w:val="24"/>
          <w:vertAlign w:val="subscript"/>
          <w:lang w:eastAsia="en-GB"/>
        </w:rPr>
        <w:t>0</w:t>
      </w:r>
      <w:r w:rsidRPr="006B23B8">
        <w:rPr>
          <w:rFonts w:ascii="Times New Roman" w:eastAsia="Times New Roman" w:hAnsi="Times New Roman" w:cs="Times New Roman"/>
          <w:color w:val="FF0000"/>
          <w:sz w:val="24"/>
          <w:szCs w:val="24"/>
          <w:lang w:eastAsia="en-GB"/>
        </w:rPr>
        <w:t xml:space="preserve">) decays exponentially with pathlength </w:t>
      </w:r>
      <w:r w:rsidRPr="006B23B8">
        <w:rPr>
          <w:rFonts w:ascii="Times New Roman" w:eastAsia="Times New Roman" w:hAnsi="Times New Roman" w:cs="Times New Roman"/>
          <w:i/>
          <w:iCs/>
          <w:color w:val="FF0000"/>
          <w:sz w:val="24"/>
          <w:szCs w:val="24"/>
          <w:lang w:eastAsia="en-GB"/>
        </w:rPr>
        <w:t>L</w:t>
      </w:r>
      <w:r w:rsidRPr="006B23B8">
        <w:rPr>
          <w:rFonts w:ascii="Times New Roman" w:eastAsia="Times New Roman" w:hAnsi="Times New Roman" w:cs="Times New Roman"/>
          <w:color w:val="FF0000"/>
          <w:sz w:val="24"/>
          <w:szCs w:val="24"/>
          <w:lang w:eastAsia="en-GB"/>
        </w:rPr>
        <w:t xml:space="preserve"> through the medium, a relationship commonly described as the Lambert-Bouguer law. This behaviour was first observed in essays by French Physicist Pierre Bouguer in 1729 and later outlined in </w:t>
      </w:r>
      <w:r w:rsidRPr="006B23B8">
        <w:rPr>
          <w:rFonts w:ascii="Times New Roman" w:eastAsia="Times New Roman" w:hAnsi="Times New Roman" w:cs="Times New Roman"/>
          <w:i/>
          <w:iCs/>
          <w:color w:val="FF0000"/>
          <w:sz w:val="24"/>
          <w:szCs w:val="24"/>
          <w:lang w:eastAsia="en-GB"/>
        </w:rPr>
        <w:t>Photometria</w:t>
      </w:r>
      <w:r w:rsidRPr="006B23B8">
        <w:rPr>
          <w:rFonts w:ascii="Times New Roman" w:eastAsia="Times New Roman" w:hAnsi="Times New Roman" w:cs="Times New Roman"/>
          <w:color w:val="FF0000"/>
          <w:sz w:val="24"/>
          <w:szCs w:val="24"/>
          <w:lang w:eastAsia="en-GB"/>
        </w:rPr>
        <w:t xml:space="preserve"> by Johann Heinrich Lambert, and can be summarised by the following equation,</w:t>
      </w:r>
      <w:r>
        <w:rPr>
          <w:rFonts w:ascii="Times New Roman" w:eastAsia="Times New Roman" w:hAnsi="Times New Roman" w:cs="Times New Roman"/>
          <w:color w:val="FF0000"/>
          <w:sz w:val="24"/>
          <w:szCs w:val="24"/>
          <w:lang w:eastAsia="en-GB"/>
        </w:rPr>
        <w:t>”</w:t>
      </w:r>
    </w:p>
    <w:p w14:paraId="7DC9792A" w14:textId="77777777" w:rsidR="006B23B8" w:rsidRDefault="006B23B8" w:rsidP="00A45B09">
      <w:pPr>
        <w:spacing w:after="0" w:line="360" w:lineRule="auto"/>
        <w:rPr>
          <w:rFonts w:ascii="Times New Roman" w:eastAsia="Times New Roman" w:hAnsi="Times New Roman" w:cs="Times New Roman"/>
          <w:color w:val="FF0000"/>
          <w:sz w:val="24"/>
          <w:szCs w:val="24"/>
          <w:lang w:eastAsia="en-GB"/>
        </w:rPr>
      </w:pPr>
    </w:p>
    <w:p w14:paraId="42697595" w14:textId="7E46552E" w:rsidR="00F158C1" w:rsidRP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1852, August Beer expanded this relationship to a more general description commonly described as the Beer-Lambert law that considers the dependence of on the mediums individual constituent chromophores, which can be expressed according to the equation,</w:t>
      </w:r>
      <w:r>
        <w:rPr>
          <w:rFonts w:ascii="Times New Roman" w:eastAsia="Times New Roman" w:hAnsi="Times New Roman" w:cs="Times New Roman"/>
          <w:color w:val="FF0000"/>
          <w:sz w:val="24"/>
          <w:szCs w:val="24"/>
          <w:lang w:eastAsia="en-GB"/>
        </w:rPr>
        <w:t>”</w:t>
      </w:r>
    </w:p>
    <w:p w14:paraId="3EF720C0" w14:textId="3CD89ACF" w:rsidR="006B23B8" w:rsidRDefault="006B23B8" w:rsidP="006B23B8">
      <w:pPr>
        <w:spacing w:after="0" w:line="360" w:lineRule="auto"/>
        <w:rPr>
          <w:rFonts w:ascii="Times New Roman" w:eastAsia="Times New Roman" w:hAnsi="Times New Roman" w:cs="Times New Roman"/>
          <w:sz w:val="24"/>
          <w:szCs w:val="24"/>
          <w:lang w:eastAsia="en-GB"/>
        </w:rPr>
      </w:pPr>
    </w:p>
    <w:p w14:paraId="3AA964CD" w14:textId="62CF1F78"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EE9CFA8" w14:textId="2D9357F3" w:rsidR="00321678" w:rsidRDefault="00EF221A" w:rsidP="00321678">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EF221A">
        <w:rPr>
          <w:rFonts w:ascii="Times New Roman" w:eastAsia="Times New Roman" w:hAnsi="Times New Roman" w:cs="Times New Roman"/>
          <w:color w:val="FF0000"/>
          <w:sz w:val="24"/>
          <w:szCs w:val="24"/>
          <w:lang w:eastAsia="en-GB"/>
        </w:rPr>
        <w:t xml:space="preserve">As light travels through biological tissue, photons may also change direction due to either an inelastic scattering, which is the theoretical basis of Raman spectroscopy and occurs around once in every </w:t>
      </w:r>
      <w:r w:rsidR="00A22D59">
        <w:rPr>
          <w:rFonts w:ascii="Times New Roman" w:eastAsia="Times New Roman" w:hAnsi="Times New Roman" w:cs="Times New Roman"/>
          <w:color w:val="FF0000"/>
          <w:sz w:val="24"/>
          <w:szCs w:val="24"/>
          <w:lang w:eastAsia="en-GB"/>
        </w:rPr>
        <w:t>10</w:t>
      </w:r>
      <w:r w:rsidR="00A22D59" w:rsidRPr="00A22D59">
        <w:rPr>
          <w:rFonts w:ascii="Times New Roman" w:eastAsia="Times New Roman" w:hAnsi="Times New Roman" w:cs="Times New Roman"/>
          <w:color w:val="FF0000"/>
          <w:sz w:val="24"/>
          <w:szCs w:val="24"/>
          <w:vertAlign w:val="superscript"/>
          <w:lang w:eastAsia="en-GB"/>
        </w:rPr>
        <w:t>6</w:t>
      </w:r>
      <w:r w:rsidRPr="00EF221A">
        <w:rPr>
          <w:rFonts w:ascii="Times New Roman" w:eastAsia="Times New Roman" w:hAnsi="Times New Roman" w:cs="Times New Roman"/>
          <w:color w:val="FF0000"/>
          <w:sz w:val="24"/>
          <w:szCs w:val="24"/>
          <w:lang w:eastAsia="en-GB"/>
        </w:rPr>
        <w:t xml:space="preserve"> interactions</w:t>
      </w:r>
      <w:r w:rsidR="00A22D59">
        <w:rPr>
          <w:rFonts w:ascii="Times New Roman" w:eastAsia="Times New Roman" w:hAnsi="Times New Roman" w:cs="Times New Roman"/>
          <w:color w:val="FF0000"/>
          <w:sz w:val="24"/>
          <w:szCs w:val="24"/>
          <w:lang w:eastAsia="en-GB"/>
        </w:rPr>
        <w:t xml:space="preserve"> [65]</w:t>
      </w:r>
      <w:r w:rsidRPr="00EF221A">
        <w:rPr>
          <w:rFonts w:ascii="Times New Roman" w:eastAsia="Times New Roman" w:hAnsi="Times New Roman" w:cs="Times New Roman"/>
          <w:color w:val="FF0000"/>
          <w:sz w:val="24"/>
          <w:szCs w:val="24"/>
          <w:lang w:eastAsia="en-GB"/>
        </w:rPr>
        <w:t xml:space="preserve">, or an elastic scattering interaction, which can be either with particles smaller than </w:t>
      </w:r>
      <w:r w:rsidR="00A96152">
        <w:rPr>
          <w:rFonts w:ascii="Gabriola" w:eastAsia="Times New Roman" w:hAnsi="Gabriola" w:cs="Times New Roman"/>
          <w:color w:val="FF0000"/>
          <w:sz w:val="24"/>
          <w:szCs w:val="24"/>
          <w:lang w:eastAsia="en-GB"/>
        </w:rPr>
        <w:t>λ</w:t>
      </w:r>
      <w:r w:rsidRPr="00EF221A">
        <w:rPr>
          <w:rFonts w:ascii="Times New Roman" w:eastAsia="Times New Roman" w:hAnsi="Times New Roman" w:cs="Times New Roman"/>
          <w:color w:val="FF0000"/>
          <w:sz w:val="24"/>
          <w:szCs w:val="24"/>
          <w:lang w:eastAsia="en-GB"/>
        </w:rPr>
        <w:t xml:space="preserve"> (Rayleigh scattering) or atoms / molecules larger than </w:t>
      </w:r>
      <w:r w:rsidR="00A96152">
        <w:rPr>
          <w:rFonts w:ascii="Gabriola" w:eastAsia="Times New Roman" w:hAnsi="Gabriola" w:cs="Times New Roman"/>
          <w:color w:val="FF0000"/>
          <w:sz w:val="24"/>
          <w:szCs w:val="24"/>
          <w:lang w:eastAsia="en-GB"/>
        </w:rPr>
        <w:t>λ</w:t>
      </w:r>
      <w:r w:rsidR="00A96152" w:rsidRPr="00EF221A">
        <w:rPr>
          <w:rFonts w:ascii="Times New Roman" w:eastAsia="Times New Roman" w:hAnsi="Times New Roman" w:cs="Times New Roman"/>
          <w:color w:val="FF0000"/>
          <w:sz w:val="24"/>
          <w:szCs w:val="24"/>
          <w:lang w:eastAsia="en-GB"/>
        </w:rPr>
        <w:t xml:space="preserve"> </w:t>
      </w:r>
      <w:r w:rsidRPr="00EF221A">
        <w:rPr>
          <w:rFonts w:ascii="Times New Roman" w:eastAsia="Times New Roman" w:hAnsi="Times New Roman" w:cs="Times New Roman"/>
          <w:color w:val="FF0000"/>
          <w:sz w:val="24"/>
          <w:szCs w:val="24"/>
          <w:lang w:eastAsia="en-GB"/>
        </w:rPr>
        <w:t>(Mie scattering), the second of which is predominantly of interest in DOI.</w:t>
      </w:r>
      <w:r>
        <w:rPr>
          <w:rFonts w:ascii="Times New Roman" w:eastAsia="Times New Roman" w:hAnsi="Times New Roman" w:cs="Times New Roman"/>
          <w:color w:val="FF0000"/>
          <w:sz w:val="24"/>
          <w:szCs w:val="24"/>
          <w:lang w:eastAsia="en-GB"/>
        </w:rPr>
        <w:t>”</w:t>
      </w:r>
    </w:p>
    <w:p w14:paraId="524517C4" w14:textId="6D071929" w:rsidR="00EF221A" w:rsidRDefault="00EF221A" w:rsidP="00321678">
      <w:pPr>
        <w:spacing w:after="0" w:line="360" w:lineRule="auto"/>
        <w:rPr>
          <w:rFonts w:ascii="Times New Roman" w:eastAsia="Times New Roman" w:hAnsi="Times New Roman" w:cs="Times New Roman"/>
          <w:color w:val="FF0000"/>
          <w:sz w:val="24"/>
          <w:szCs w:val="24"/>
          <w:lang w:eastAsia="en-GB"/>
        </w:rPr>
      </w:pPr>
    </w:p>
    <w:p w14:paraId="0FBCF4F3" w14:textId="103D28C9" w:rsidR="00A9343C" w:rsidRDefault="00A9343C"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Provide a discussion on why you selected the DA in your reconstructions. Pros and cons.</w:t>
      </w:r>
    </w:p>
    <w:p w14:paraId="155263B7" w14:textId="1A1F8828" w:rsidR="00A9343C" w:rsidRDefault="00A9343C" w:rsidP="00A9343C">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i/>
          <w:sz w:val="24"/>
          <w:szCs w:val="24"/>
          <w:lang w:eastAsia="en-GB"/>
        </w:rPr>
        <w:t>Chosen the same for consistency during reconstruction.</w:t>
      </w:r>
    </w:p>
    <w:p w14:paraId="2AA6E05E" w14:textId="77777777" w:rsidR="00A9343C" w:rsidRPr="00A9343C" w:rsidRDefault="00A9343C" w:rsidP="00A9343C">
      <w:pPr>
        <w:spacing w:after="0" w:line="360" w:lineRule="auto"/>
        <w:rPr>
          <w:rFonts w:ascii="Times New Roman" w:eastAsia="Times New Roman" w:hAnsi="Times New Roman" w:cs="Times New Roman"/>
          <w:bCs/>
          <w:color w:val="000000"/>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5E247AB3" w14:textId="77777777" w:rsidR="00A9343C"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The following has been added to highlight this point. </w:t>
      </w:r>
    </w:p>
    <w:p w14:paraId="433E2DF9" w14:textId="3CC985D1" w:rsidR="00A45B09" w:rsidRPr="00041A32" w:rsidRDefault="00A45B09" w:rsidP="00A45B09">
      <w:pPr>
        <w:spacing w:after="0" w:line="360" w:lineRule="auto"/>
        <w:rPr>
          <w:rFonts w:ascii="Times New Roman" w:eastAsia="Times New Roman" w:hAnsi="Times New Roman" w:cs="Times New Roman"/>
          <w:i/>
          <w:sz w:val="24"/>
          <w:szCs w:val="24"/>
          <w:lang w:eastAsia="en-GB"/>
        </w:rPr>
      </w:pPr>
    </w:p>
    <w:p w14:paraId="2B15326E" w14:textId="016278F6" w:rsidR="00701CC0" w:rsidRDefault="00A45B09"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00701CC0" w:rsidRPr="00701CC0">
        <w:rPr>
          <w:rFonts w:ascii="Times New Roman" w:hAnsi="Times New Roman" w:cs="Times New Roman"/>
          <w:color w:val="FF0000"/>
          <w:sz w:val="24"/>
          <w:szCs w:val="24"/>
        </w:rPr>
        <w:t>These initial conditions and reconstruction parameters we the same for all participants, making the algorithm objective in the sense that all processing was carried out in an automated fashion to produce quantitative image maps that if repeated by multiple users would produce identical outcomes.</w:t>
      </w:r>
      <w:r>
        <w:rPr>
          <w:rFonts w:ascii="Times New Roman" w:hAnsi="Times New Roman" w:cs="Times New Roman"/>
          <w:color w:val="FF0000"/>
          <w:sz w:val="24"/>
          <w:szCs w:val="24"/>
        </w:rPr>
        <w:t>”</w:t>
      </w:r>
      <w:r w:rsidR="00701CC0">
        <w:rPr>
          <w:rFonts w:ascii="Times New Roman" w:hAnsi="Times New Roman" w:cs="Times New Roman"/>
          <w:color w:val="FF0000"/>
          <w:sz w:val="24"/>
          <w:szCs w:val="24"/>
        </w:rPr>
        <w:t xml:space="preserve"> Data filtering?</w:t>
      </w:r>
    </w:p>
    <w:p w14:paraId="43767B34" w14:textId="24820561" w:rsidR="00A45B09" w:rsidRPr="00041A32" w:rsidRDefault="00701CC0"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Elements of acquisition were subjective including the joint positioning, image mask definition.</w:t>
      </w:r>
    </w:p>
    <w:p w14:paraId="763ACC7F" w14:textId="77777777" w:rsidR="00A96152" w:rsidRDefault="00A96152" w:rsidP="00A96152">
      <w:pPr>
        <w:pStyle w:val="ListParagraph"/>
        <w:spacing w:after="0" w:line="360" w:lineRule="auto"/>
        <w:rPr>
          <w:rFonts w:ascii="Times New Roman" w:eastAsia="Times New Roman" w:hAnsi="Times New Roman" w:cs="Times New Roman"/>
          <w:sz w:val="24"/>
          <w:szCs w:val="24"/>
          <w:lang w:eastAsia="en-GB"/>
        </w:rPr>
      </w:pPr>
    </w:p>
    <w:p w14:paraId="4FD864F8" w14:textId="7FE5D32D" w:rsidR="00A96152" w:rsidRDefault="00A96152" w:rsidP="00A96152">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discussion of optical imaging, provide a short paragraph comparing the different optical techniques and the strength of DOT in comparison</w:t>
      </w:r>
    </w:p>
    <w:p w14:paraId="33615A40" w14:textId="47616B47" w:rsidR="00A45B09" w:rsidRPr="00A96152" w:rsidRDefault="00A96152" w:rsidP="00A45B09">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following has been added to Section 2.8</w:t>
      </w:r>
    </w:p>
    <w:p w14:paraId="62A4FC06" w14:textId="77777777" w:rsidR="00A96152" w:rsidRDefault="00A96152" w:rsidP="00A45B09">
      <w:pPr>
        <w:spacing w:after="0" w:line="360" w:lineRule="auto"/>
        <w:rPr>
          <w:rFonts w:ascii="Times New Roman" w:eastAsia="Times New Roman" w:hAnsi="Times New Roman" w:cs="Times New Roman"/>
          <w:sz w:val="24"/>
          <w:szCs w:val="24"/>
          <w:lang w:eastAsia="en-GB"/>
        </w:rPr>
      </w:pPr>
    </w:p>
    <w:p w14:paraId="394FD48A" w14:textId="7649BDE6" w:rsidR="00AE096B" w:rsidRPr="00A96152" w:rsidRDefault="00A96152"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A number of distinct optical-based techniques were presented as potential candidates for imaging RA patients. Despite PAT and FOI both demonstrating the capability to detect inflammation with a high spatial resolution, DOT provided a unique combination of strengths that made it the most desirable approach in the context of diagnostics and monitoring. DOT </w:t>
      </w:r>
      <w:r w:rsidR="008E4A6F">
        <w:rPr>
          <w:rFonts w:ascii="Times New Roman" w:eastAsia="Times New Roman" w:hAnsi="Times New Roman" w:cs="Times New Roman"/>
          <w:color w:val="FF0000"/>
          <w:sz w:val="24"/>
          <w:szCs w:val="24"/>
          <w:lang w:eastAsia="en-GB"/>
        </w:rPr>
        <w:t>is</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 xml:space="preserve">a </w:t>
      </w:r>
      <w:r w:rsidR="00AE096B" w:rsidRPr="00A96152">
        <w:rPr>
          <w:rFonts w:ascii="Times New Roman" w:eastAsia="Times New Roman" w:hAnsi="Times New Roman" w:cs="Times New Roman"/>
          <w:color w:val="FF0000"/>
          <w:sz w:val="24"/>
          <w:szCs w:val="24"/>
          <w:lang w:eastAsia="en-GB"/>
        </w:rPr>
        <w:t>more economically viable solution for widespread clinical implementation in comparison to</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lastRenderedPageBreak/>
        <w:t>PAT</w:t>
      </w:r>
      <w:r w:rsidR="008E4A6F">
        <w:rPr>
          <w:rFonts w:ascii="Times New Roman" w:eastAsia="Times New Roman" w:hAnsi="Times New Roman" w:cs="Times New Roman"/>
          <w:color w:val="FF0000"/>
          <w:sz w:val="24"/>
          <w:szCs w:val="24"/>
          <w:lang w:eastAsia="en-GB"/>
        </w:rPr>
        <w:t xml:space="preserve">, with </w:t>
      </w:r>
      <w:r w:rsidR="00AE096B" w:rsidRPr="00A96152">
        <w:rPr>
          <w:rFonts w:ascii="Times New Roman" w:eastAsia="Times New Roman" w:hAnsi="Times New Roman" w:cs="Times New Roman"/>
          <w:color w:val="FF0000"/>
          <w:sz w:val="24"/>
          <w:szCs w:val="24"/>
          <w:lang w:eastAsia="en-GB"/>
        </w:rPr>
        <w:t>additional</w:t>
      </w:r>
      <w:r w:rsidR="008E4A6F">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 expensive hardware </w:t>
      </w:r>
      <w:r w:rsidR="008E4A6F">
        <w:rPr>
          <w:rFonts w:ascii="Times New Roman" w:eastAsia="Times New Roman" w:hAnsi="Times New Roman" w:cs="Times New Roman"/>
          <w:color w:val="FF0000"/>
          <w:sz w:val="24"/>
          <w:szCs w:val="24"/>
          <w:lang w:eastAsia="en-GB"/>
        </w:rPr>
        <w:t>needed in the latter</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US measurement, whilst the ability to provide contrast to endogenous pathophysiological properties</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of DOT</w:t>
      </w:r>
      <w:r w:rsidR="00AE096B" w:rsidRPr="00A96152">
        <w:rPr>
          <w:rFonts w:ascii="Times New Roman" w:eastAsia="Times New Roman" w:hAnsi="Times New Roman" w:cs="Times New Roman"/>
          <w:color w:val="FF0000"/>
          <w:sz w:val="24"/>
          <w:szCs w:val="24"/>
          <w:lang w:eastAsia="en-GB"/>
        </w:rPr>
        <w:t xml:space="preserve"> is highly preferable </w:t>
      </w:r>
      <w:r w:rsidR="008E4A6F">
        <w:rPr>
          <w:rFonts w:ascii="Times New Roman" w:eastAsia="Times New Roman" w:hAnsi="Times New Roman" w:cs="Times New Roman"/>
          <w:color w:val="FF0000"/>
          <w:sz w:val="24"/>
          <w:szCs w:val="24"/>
          <w:lang w:eastAsia="en-GB"/>
        </w:rPr>
        <w:t xml:space="preserve">when </w:t>
      </w:r>
      <w:r w:rsidR="00AE096B" w:rsidRPr="00A96152">
        <w:rPr>
          <w:rFonts w:ascii="Times New Roman" w:eastAsia="Times New Roman" w:hAnsi="Times New Roman" w:cs="Times New Roman"/>
          <w:color w:val="FF0000"/>
          <w:sz w:val="24"/>
          <w:szCs w:val="24"/>
          <w:lang w:eastAsia="en-GB"/>
        </w:rPr>
        <w:t>compared to the</w:t>
      </w:r>
      <w:r w:rsidR="008E4A6F">
        <w:rPr>
          <w:rFonts w:ascii="Times New Roman" w:eastAsia="Times New Roman" w:hAnsi="Times New Roman" w:cs="Times New Roman"/>
          <w:color w:val="FF0000"/>
          <w:sz w:val="24"/>
          <w:szCs w:val="24"/>
          <w:lang w:eastAsia="en-GB"/>
        </w:rPr>
        <w:t xml:space="preserve"> reliance on</w:t>
      </w:r>
      <w:r w:rsidR="00AE096B" w:rsidRPr="00A96152">
        <w:rPr>
          <w:rFonts w:ascii="Times New Roman" w:eastAsia="Times New Roman" w:hAnsi="Times New Roman" w:cs="Times New Roman"/>
          <w:color w:val="FF0000"/>
          <w:sz w:val="24"/>
          <w:szCs w:val="24"/>
          <w:lang w:eastAsia="en-GB"/>
        </w:rPr>
        <w:t xml:space="preserve"> intravenous contrast agents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FOI, particularly given the regularity of which patients are monitored for disease progression.</w:t>
      </w:r>
      <w:r>
        <w:rPr>
          <w:rFonts w:ascii="Times New Roman" w:eastAsia="Times New Roman" w:hAnsi="Times New Roman" w:cs="Times New Roman"/>
          <w:color w:val="FF0000"/>
          <w:sz w:val="24"/>
          <w:szCs w:val="24"/>
          <w:lang w:eastAsia="en-GB"/>
        </w:rPr>
        <w:t>”</w:t>
      </w:r>
    </w:p>
    <w:p w14:paraId="0928FD53" w14:textId="77777777" w:rsidR="00AE096B" w:rsidRPr="00041A32" w:rsidRDefault="00AE096B"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6A3EC2C1" w14:textId="5318FB10" w:rsidR="00C50CBC" w:rsidRDefault="00C50CBC"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the system characterisation chapter include a small paragraph pointing out the most important parameters in order to get an accurate reconstruction (SI, limitations of the </w:t>
      </w:r>
      <w:r w:rsidR="00D71E59">
        <w:rPr>
          <w:rFonts w:ascii="Times New Roman" w:eastAsia="Times New Roman" w:hAnsi="Times New Roman" w:cs="Times New Roman"/>
          <w:sz w:val="24"/>
          <w:szCs w:val="24"/>
          <w:lang w:eastAsia="en-GB"/>
        </w:rPr>
        <w:t>diffusion</w:t>
      </w:r>
      <w:r>
        <w:rPr>
          <w:rFonts w:ascii="Times New Roman" w:eastAsia="Times New Roman" w:hAnsi="Times New Roman" w:cs="Times New Roman"/>
          <w:sz w:val="24"/>
          <w:szCs w:val="24"/>
          <w:lang w:eastAsia="en-GB"/>
        </w:rPr>
        <w:t xml:space="preserve"> approximation, or any of the other parameters. Also add a bit of discussion on error propagation analysis in this part.</w:t>
      </w:r>
    </w:p>
    <w:p w14:paraId="4A2138ED" w14:textId="1F821CF3" w:rsidR="00C50CBC" w:rsidRPr="00C50CBC" w:rsidRDefault="004F39A0" w:rsidP="00C50CBC">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w:t>
      </w:r>
    </w:p>
    <w:p w14:paraId="493F660F" w14:textId="77777777" w:rsidR="00C50CBC" w:rsidRPr="00C50CBC" w:rsidRDefault="00C50CBC" w:rsidP="00C50CBC">
      <w:pPr>
        <w:spacing w:after="0" w:line="360" w:lineRule="auto"/>
        <w:rPr>
          <w:rFonts w:ascii="Times New Roman" w:eastAsia="Times New Roman" w:hAnsi="Times New Roman" w:cs="Times New Roman"/>
          <w:sz w:val="24"/>
          <w:szCs w:val="24"/>
          <w:lang w:eastAsia="en-GB"/>
        </w:rPr>
      </w:pPr>
    </w:p>
    <w:p w14:paraId="62450C51" w14:textId="2F217EC2" w:rsidR="00C50CBC" w:rsidRPr="00C50CBC" w:rsidRDefault="00C50CBC" w:rsidP="00C50CBC">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55052F6A"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w:t>
      </w:r>
      <w:r w:rsidR="00044812">
        <w:rPr>
          <w:rFonts w:ascii="Times New Roman" w:eastAsia="Times New Roman" w:hAnsi="Times New Roman" w:cs="Times New Roman"/>
          <w:bCs/>
          <w:i/>
          <w:iCs/>
          <w:color w:val="000000"/>
          <w:sz w:val="24"/>
          <w:szCs w:val="24"/>
          <w:lang w:eastAsia="en-GB"/>
        </w:rPr>
        <w:t>e variables for this calculation have been more clearly defined to allow it to be reproduc</w:t>
      </w:r>
      <w:r w:rsidR="00C50CBC">
        <w:rPr>
          <w:rFonts w:ascii="Times New Roman" w:eastAsia="Times New Roman" w:hAnsi="Times New Roman" w:cs="Times New Roman"/>
          <w:bCs/>
          <w:i/>
          <w:iCs/>
          <w:color w:val="000000"/>
          <w:sz w:val="24"/>
          <w:szCs w:val="24"/>
          <w:lang w:eastAsia="en-GB"/>
        </w:rPr>
        <w:t>ed</w:t>
      </w:r>
      <w:r w:rsidR="00044812">
        <w:rPr>
          <w:rFonts w:ascii="Times New Roman" w:eastAsia="Times New Roman" w:hAnsi="Times New Roman" w:cs="Times New Roman"/>
          <w:bCs/>
          <w:i/>
          <w:iCs/>
          <w:color w:val="000000"/>
          <w:sz w:val="24"/>
          <w:szCs w:val="24"/>
          <w:lang w:eastAsia="en-GB"/>
        </w:rPr>
        <w:t xml:space="preserve"> and given in the context of an example for tHb when comparing groups of joints between subjects</w:t>
      </w:r>
      <w:r>
        <w:rPr>
          <w:rFonts w:ascii="Times New Roman" w:eastAsia="Times New Roman" w:hAnsi="Times New Roman" w:cs="Times New Roman"/>
          <w:bCs/>
          <w:i/>
          <w:iCs/>
          <w:color w:val="000000"/>
          <w:sz w:val="24"/>
          <w:szCs w:val="24"/>
          <w:lang w:eastAsia="en-GB"/>
        </w:rPr>
        <w:t>.</w:t>
      </w:r>
    </w:p>
    <w:p w14:paraId="790A7729" w14:textId="77777777" w:rsidR="00996C34" w:rsidRPr="00B46955" w:rsidRDefault="00996C34" w:rsidP="00853D6A">
      <w:pPr>
        <w:spacing w:after="0" w:line="360" w:lineRule="auto"/>
        <w:rPr>
          <w:rFonts w:ascii="Times New Roman" w:eastAsia="Times New Roman" w:hAnsi="Times New Roman" w:cs="Times New Roman"/>
          <w:bCs/>
          <w:color w:val="000000"/>
          <w:sz w:val="24"/>
          <w:szCs w:val="24"/>
          <w:lang w:eastAsia="en-GB"/>
        </w:rPr>
      </w:pPr>
    </w:p>
    <w:p w14:paraId="35490A53" w14:textId="6B3EBC3F"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60C8A483" w14:textId="77777777" w:rsidR="00EF221A" w:rsidRPr="00EF221A" w:rsidRDefault="00EF221A" w:rsidP="00EF221A">
      <w:pPr>
        <w:spacing w:after="0" w:line="360" w:lineRule="auto"/>
        <w:ind w:left="360"/>
        <w:rPr>
          <w:rFonts w:ascii="Times New Roman" w:eastAsia="Times New Roman" w:hAnsi="Times New Roman" w:cs="Times New Roman"/>
          <w:sz w:val="24"/>
          <w:szCs w:val="24"/>
          <w:lang w:eastAsia="en-GB"/>
        </w:rPr>
      </w:pPr>
    </w:p>
    <w:p w14:paraId="0EE7F552" w14:textId="0FE8F031" w:rsidR="00204857" w:rsidRPr="00204857" w:rsidRDefault="00204857" w:rsidP="00204857">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reviewer is correctly identifying the risk of over-fitting for a large number of parameters with the relatively small data set</w:t>
      </w:r>
      <w:r w:rsidR="00034A0F">
        <w:rPr>
          <w:rFonts w:ascii="Times New Roman" w:eastAsia="Times New Roman" w:hAnsi="Times New Roman" w:cs="Times New Roman"/>
          <w:i/>
          <w:iCs/>
          <w:sz w:val="24"/>
          <w:szCs w:val="24"/>
          <w:lang w:eastAsia="en-GB"/>
        </w:rPr>
        <w:t xml:space="preserve"> NOT ADDED YET</w:t>
      </w:r>
    </w:p>
    <w:p w14:paraId="77B6C1F6" w14:textId="48A69899" w:rsidR="0057394D" w:rsidRDefault="0057394D" w:rsidP="0057394D">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“AUC values from ROC analysis provided a degree of inference about the discriminatory values over a range of . Due to the relatively , in future work with this larger cohort of patients, the data should be partitioned appropriately in a machine learning framework, such that a training data set is used to establish optimum  thresholds, an independent testing sample partition used and validation sets, with t, to more rigorously test the generalisation of the reported diagnostic accuracies</w:t>
      </w:r>
      <w:r w:rsidRPr="00701CC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14:paraId="5515BD16" w14:textId="3A38F60E" w:rsidR="00B46955" w:rsidRDefault="0057394D"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hAnsi="Times New Roman" w:cs="Times New Roman"/>
          <w:color w:val="FF0000"/>
          <w:sz w:val="24"/>
          <w:szCs w:val="24"/>
        </w:rPr>
        <w:t>to ensure these optimal values were not suffering from</w:t>
      </w:r>
      <w:r w:rsidRPr="0057394D">
        <w:t xml:space="preserve"> </w:t>
      </w:r>
      <w:r w:rsidRPr="0057394D">
        <w:rPr>
          <w:rFonts w:ascii="Times New Roman" w:hAnsi="Times New Roman" w:cs="Times New Roman"/>
          <w:color w:val="FF0000"/>
          <w:sz w:val="24"/>
          <w:szCs w:val="24"/>
        </w:rPr>
        <w:t>over-fitting</w:t>
      </w:r>
    </w:p>
    <w:p w14:paraId="04C58223" w14:textId="28837A31" w:rsidR="00204857" w:rsidRDefault="00204857" w:rsidP="00853D6A">
      <w:pPr>
        <w:spacing w:after="0" w:line="360" w:lineRule="auto"/>
        <w:rPr>
          <w:rFonts w:ascii="Times New Roman" w:eastAsia="Times New Roman" w:hAnsi="Times New Roman" w:cs="Times New Roman"/>
          <w:bCs/>
          <w:i/>
          <w:iCs/>
          <w:color w:val="000000"/>
          <w:sz w:val="24"/>
          <w:szCs w:val="24"/>
          <w:lang w:eastAsia="en-GB"/>
        </w:rPr>
      </w:pPr>
    </w:p>
    <w:p w14:paraId="54001F6D" w14:textId="321EEB39" w:rsidR="00961E97" w:rsidRDefault="00DC6652"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It would also be preferred to have a brief discussion about any potential benefits/complications obtained by combining the two techniques of analysis used.</w:t>
      </w:r>
    </w:p>
    <w:p w14:paraId="624A2D5B" w14:textId="40DB54E7" w:rsidR="00961E97" w:rsidRPr="00961E97" w:rsidRDefault="00564A2F" w:rsidP="00961E97">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asd</w:t>
      </w:r>
    </w:p>
    <w:p w14:paraId="652844AA" w14:textId="68B23FEB" w:rsidR="00961E97" w:rsidRPr="00564A2F" w:rsidRDefault="00961E97" w:rsidP="00564A2F">
      <w:pPr>
        <w:spacing w:after="0" w:line="360" w:lineRule="auto"/>
        <w:rPr>
          <w:rFonts w:ascii="Times New Roman" w:hAnsi="Times New Roman" w:cs="Times New Roman"/>
          <w:color w:val="FF0000"/>
          <w:sz w:val="24"/>
          <w:szCs w:val="24"/>
        </w:rPr>
      </w:pPr>
      <w:r w:rsidRPr="00961E97">
        <w:rPr>
          <w:rFonts w:ascii="Times New Roman" w:hAnsi="Times New Roman" w:cs="Times New Roman"/>
          <w:color w:val="FF0000"/>
          <w:sz w:val="24"/>
          <w:szCs w:val="24"/>
        </w:rPr>
        <w:t xml:space="preserve">“.” </w:t>
      </w:r>
      <w:r w:rsidR="004747DB">
        <w:rPr>
          <w:rFonts w:ascii="Times New Roman" w:hAnsi="Times New Roman" w:cs="Times New Roman"/>
          <w:color w:val="FF0000"/>
          <w:sz w:val="24"/>
          <w:szCs w:val="24"/>
        </w:rPr>
        <w:t>??????????????</w:t>
      </w:r>
      <w:r w:rsidR="001231F6">
        <w:rPr>
          <w:rFonts w:ascii="Times New Roman" w:hAnsi="Times New Roman" w:cs="Times New Roman"/>
          <w:color w:val="FF0000"/>
          <w:sz w:val="24"/>
          <w:szCs w:val="24"/>
        </w:rPr>
        <w:t xml:space="preserve"> All features were assessed indepentantly, to provide an indication of the nature of the pathophysiological changes occurring in recovered images and potentially useful image characteristics. In a ML environment, combining multiple features can provide increased benefit. Requires thorough sufficient cross validation, to ensure overfitting is avoided and attain true diagnostic capabilities of a test. This could include incorporation of FFT.</w:t>
      </w:r>
      <w:r w:rsidR="0097301B">
        <w:rPr>
          <w:rFonts w:ascii="Times New Roman" w:hAnsi="Times New Roman" w:cs="Times New Roman"/>
          <w:color w:val="FF0000"/>
          <w:sz w:val="24"/>
          <w:szCs w:val="24"/>
        </w:rPr>
        <w:t xml:space="preserve"> Pg 156. Number of features.</w:t>
      </w:r>
    </w:p>
    <w:p w14:paraId="3E7F93E4" w14:textId="77777777" w:rsidR="0020363E" w:rsidRPr="00BA5550" w:rsidRDefault="0020363E" w:rsidP="0020363E">
      <w:pPr>
        <w:pStyle w:val="ListParagraph"/>
        <w:spacing w:after="0" w:line="360" w:lineRule="auto"/>
        <w:rPr>
          <w:rFonts w:ascii="Times New Roman" w:eastAsia="Times New Roman" w:hAnsi="Times New Roman" w:cs="Times New Roman"/>
          <w:bCs/>
          <w:color w:val="000000"/>
          <w:sz w:val="24"/>
          <w:szCs w:val="24"/>
          <w:lang w:eastAsia="en-GB"/>
        </w:rPr>
      </w:pPr>
    </w:p>
    <w:p w14:paraId="3F595976" w14:textId="56F7BB45" w:rsidR="0020363E" w:rsidRPr="0020363E" w:rsidRDefault="0020363E" w:rsidP="0020363E">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In general look at improving figure and table captions. Especially important are legends to Table 5.1, Figure 1.3 and Figure 5.23.</w:t>
      </w:r>
    </w:p>
    <w:p w14:paraId="78D83A5A" w14:textId="204DD53D" w:rsidR="0020363E" w:rsidRPr="0020363E" w:rsidRDefault="0020363E" w:rsidP="0020363E">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 xml:space="preserve">These and </w:t>
      </w:r>
      <w:r w:rsidRPr="0020363E">
        <w:rPr>
          <w:rFonts w:ascii="Times New Roman" w:eastAsia="Times New Roman" w:hAnsi="Times New Roman" w:cs="Times New Roman"/>
          <w:bCs/>
          <w:i/>
          <w:iCs/>
          <w:color w:val="000000"/>
          <w:sz w:val="24"/>
          <w:szCs w:val="24"/>
          <w:lang w:eastAsia="en-GB"/>
        </w:rPr>
        <w:t xml:space="preserve">a number of </w:t>
      </w:r>
      <w:r>
        <w:rPr>
          <w:rFonts w:ascii="Times New Roman" w:eastAsia="Times New Roman" w:hAnsi="Times New Roman" w:cs="Times New Roman"/>
          <w:bCs/>
          <w:i/>
          <w:iCs/>
          <w:color w:val="000000"/>
          <w:sz w:val="24"/>
          <w:szCs w:val="24"/>
          <w:lang w:eastAsia="en-GB"/>
        </w:rPr>
        <w:t xml:space="preserve">other </w:t>
      </w:r>
      <w:r w:rsidRPr="0020363E">
        <w:rPr>
          <w:rFonts w:ascii="Times New Roman" w:eastAsia="Times New Roman" w:hAnsi="Times New Roman" w:cs="Times New Roman"/>
          <w:bCs/>
          <w:i/>
          <w:iCs/>
          <w:color w:val="000000"/>
          <w:sz w:val="24"/>
          <w:szCs w:val="24"/>
          <w:lang w:eastAsia="en-GB"/>
        </w:rPr>
        <w:t>captions</w:t>
      </w:r>
      <w:r>
        <w:rPr>
          <w:rFonts w:ascii="Times New Roman" w:eastAsia="Times New Roman" w:hAnsi="Times New Roman" w:cs="Times New Roman"/>
          <w:bCs/>
          <w:i/>
          <w:iCs/>
          <w:color w:val="000000"/>
          <w:sz w:val="24"/>
          <w:szCs w:val="24"/>
          <w:lang w:eastAsia="en-GB"/>
        </w:rPr>
        <w:t xml:space="preserve"> </w:t>
      </w:r>
      <w:r w:rsidRPr="0020363E">
        <w:rPr>
          <w:rFonts w:ascii="Times New Roman" w:eastAsia="Times New Roman" w:hAnsi="Times New Roman" w:cs="Times New Roman"/>
          <w:bCs/>
          <w:i/>
          <w:iCs/>
          <w:color w:val="000000"/>
          <w:sz w:val="24"/>
          <w:szCs w:val="24"/>
          <w:lang w:eastAsia="en-GB"/>
        </w:rPr>
        <w:t>including Figures 1.1, 1.6, 2.7 and Table 1.2</w:t>
      </w:r>
      <w:r>
        <w:rPr>
          <w:rFonts w:ascii="Times New Roman" w:eastAsia="Times New Roman" w:hAnsi="Times New Roman" w:cs="Times New Roman"/>
          <w:bCs/>
          <w:i/>
          <w:iCs/>
          <w:color w:val="000000"/>
          <w:sz w:val="24"/>
          <w:szCs w:val="24"/>
          <w:lang w:eastAsia="en-GB"/>
        </w:rPr>
        <w:t>,</w:t>
      </w:r>
      <w:r w:rsidRPr="0020363E">
        <w:rPr>
          <w:rFonts w:ascii="Times New Roman" w:eastAsia="Times New Roman" w:hAnsi="Times New Roman" w:cs="Times New Roman"/>
          <w:bCs/>
          <w:i/>
          <w:iCs/>
          <w:color w:val="000000"/>
          <w:sz w:val="24"/>
          <w:szCs w:val="24"/>
          <w:lang w:eastAsia="en-GB"/>
        </w:rPr>
        <w:t xml:space="preserve"> have been expanded upon in more detail</w:t>
      </w:r>
      <w:r>
        <w:rPr>
          <w:rFonts w:ascii="Times New Roman" w:eastAsia="Times New Roman" w:hAnsi="Times New Roman" w:cs="Times New Roman"/>
          <w:bCs/>
          <w:i/>
          <w:iCs/>
          <w:color w:val="000000"/>
          <w:sz w:val="24"/>
          <w:szCs w:val="24"/>
          <w:lang w:eastAsia="en-GB"/>
        </w:rPr>
        <w:t xml:space="preserve">, based on comments in manuscript.  </w:t>
      </w:r>
      <w:r w:rsidRPr="0020363E">
        <w:rPr>
          <w:rFonts w:ascii="Times New Roman" w:eastAsia="Times New Roman" w:hAnsi="Times New Roman" w:cs="Times New Roman"/>
          <w:bCs/>
          <w:i/>
          <w:iCs/>
          <w:color w:val="000000"/>
          <w:sz w:val="24"/>
          <w:szCs w:val="24"/>
          <w:lang w:eastAsia="en-GB"/>
        </w:rPr>
        <w:t>Figure 1.3 has</w:t>
      </w:r>
      <w:r>
        <w:rPr>
          <w:rFonts w:ascii="Times New Roman" w:eastAsia="Times New Roman" w:hAnsi="Times New Roman" w:cs="Times New Roman"/>
          <w:bCs/>
          <w:i/>
          <w:iCs/>
          <w:color w:val="000000"/>
          <w:sz w:val="24"/>
          <w:szCs w:val="24"/>
          <w:lang w:eastAsia="en-GB"/>
        </w:rPr>
        <w:t xml:space="preserve"> als</w:t>
      </w:r>
      <w:r w:rsidR="00306FFE">
        <w:rPr>
          <w:rFonts w:ascii="Times New Roman" w:eastAsia="Times New Roman" w:hAnsi="Times New Roman" w:cs="Times New Roman"/>
          <w:bCs/>
          <w:i/>
          <w:iCs/>
          <w:color w:val="000000"/>
          <w:sz w:val="24"/>
          <w:szCs w:val="24"/>
          <w:lang w:eastAsia="en-GB"/>
        </w:rPr>
        <w:t xml:space="preserve">o </w:t>
      </w:r>
      <w:r w:rsidRPr="0020363E">
        <w:rPr>
          <w:rFonts w:ascii="Times New Roman" w:eastAsia="Times New Roman" w:hAnsi="Times New Roman" w:cs="Times New Roman"/>
          <w:bCs/>
          <w:i/>
          <w:iCs/>
          <w:color w:val="000000"/>
          <w:sz w:val="24"/>
          <w:szCs w:val="24"/>
          <w:lang w:eastAsia="en-GB"/>
        </w:rPr>
        <w:t>been reorientated to be made more clear</w:t>
      </w:r>
      <w:r>
        <w:rPr>
          <w:rFonts w:ascii="Times New Roman" w:eastAsia="Times New Roman" w:hAnsi="Times New Roman" w:cs="Times New Roman"/>
          <w:bCs/>
          <w:i/>
          <w:iCs/>
          <w:color w:val="000000"/>
          <w:sz w:val="24"/>
          <w:szCs w:val="24"/>
          <w:lang w:eastAsia="en-GB"/>
        </w:rPr>
        <w:t>.</w:t>
      </w:r>
    </w:p>
    <w:p w14:paraId="4418F9D9" w14:textId="77777777" w:rsidR="00BA5550" w:rsidRPr="00BA5550" w:rsidRDefault="00BA5550" w:rsidP="00BA5550">
      <w:pPr>
        <w:pStyle w:val="ListParagraph"/>
        <w:spacing w:after="0" w:line="360" w:lineRule="auto"/>
        <w:rPr>
          <w:rFonts w:ascii="Times New Roman" w:eastAsia="Times New Roman" w:hAnsi="Times New Roman" w:cs="Times New Roman"/>
          <w:bCs/>
          <w:color w:val="000000"/>
          <w:sz w:val="24"/>
          <w:szCs w:val="24"/>
          <w:lang w:eastAsia="en-GB"/>
        </w:rPr>
      </w:pPr>
    </w:p>
    <w:p w14:paraId="16337963" w14:textId="6A210FFA" w:rsidR="00BA5550" w:rsidRPr="00AE096B" w:rsidRDefault="00BA5550" w:rsidP="00BA5550">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Keep the order of StO</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 tHb, S</w:t>
      </w:r>
      <w:r w:rsidRPr="00C94DE4">
        <w:rPr>
          <w:rFonts w:ascii="Times New Roman" w:eastAsia="Times New Roman" w:hAnsi="Times New Roman" w:cs="Times New Roman"/>
          <w:sz w:val="24"/>
          <w:szCs w:val="24"/>
          <w:vertAlign w:val="subscript"/>
          <w:lang w:eastAsia="en-GB"/>
        </w:rPr>
        <w:t>A</w:t>
      </w:r>
      <w:r>
        <w:rPr>
          <w:rFonts w:ascii="Times New Roman" w:eastAsia="Times New Roman" w:hAnsi="Times New Roman" w:cs="Times New Roman"/>
          <w:sz w:val="24"/>
          <w:szCs w:val="24"/>
          <w:lang w:eastAsia="en-GB"/>
        </w:rPr>
        <w:t xml:space="preserve"> and H</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O the same in all figures e.g. Fig 5.22</w:t>
      </w:r>
    </w:p>
    <w:p w14:paraId="56F36F42" w14:textId="2457473B" w:rsidR="00961E97" w:rsidRDefault="00BA5550" w:rsidP="00853D6A">
      <w:pPr>
        <w:spacing w:after="0" w:line="360" w:lineRule="auto"/>
        <w:rPr>
          <w:rFonts w:ascii="Times New Roman" w:eastAsia="Times New Roman" w:hAnsi="Times New Roman" w:cs="Times New Roman"/>
          <w:i/>
          <w:iCs/>
          <w:sz w:val="24"/>
          <w:szCs w:val="24"/>
          <w:lang w:eastAsia="en-GB"/>
        </w:rPr>
      </w:pPr>
      <w:r w:rsidRPr="00AE096B">
        <w:rPr>
          <w:rFonts w:ascii="Times New Roman" w:eastAsia="Times New Roman" w:hAnsi="Times New Roman" w:cs="Times New Roman"/>
          <w:i/>
          <w:iCs/>
          <w:sz w:val="24"/>
          <w:szCs w:val="24"/>
          <w:lang w:eastAsia="en-GB"/>
        </w:rPr>
        <w:t xml:space="preserve">This has been </w:t>
      </w:r>
      <w:r>
        <w:rPr>
          <w:rFonts w:ascii="Times New Roman" w:eastAsia="Times New Roman" w:hAnsi="Times New Roman" w:cs="Times New Roman"/>
          <w:i/>
          <w:iCs/>
          <w:sz w:val="24"/>
          <w:szCs w:val="24"/>
          <w:lang w:eastAsia="en-GB"/>
        </w:rPr>
        <w:t xml:space="preserve">rearranged for all </w:t>
      </w:r>
      <w:r w:rsidR="00D3348B">
        <w:rPr>
          <w:rFonts w:ascii="Times New Roman" w:eastAsia="Times New Roman" w:hAnsi="Times New Roman" w:cs="Times New Roman"/>
          <w:i/>
          <w:iCs/>
          <w:sz w:val="24"/>
          <w:szCs w:val="24"/>
          <w:lang w:eastAsia="en-GB"/>
        </w:rPr>
        <w:t xml:space="preserve">relevant </w:t>
      </w:r>
      <w:r>
        <w:rPr>
          <w:rFonts w:ascii="Times New Roman" w:eastAsia="Times New Roman" w:hAnsi="Times New Roman" w:cs="Times New Roman"/>
          <w:i/>
          <w:iCs/>
          <w:sz w:val="24"/>
          <w:szCs w:val="24"/>
          <w:lang w:eastAsia="en-GB"/>
        </w:rPr>
        <w:t>figures</w:t>
      </w:r>
      <w:r w:rsidR="00C94DE4">
        <w:rPr>
          <w:rFonts w:ascii="Times New Roman" w:eastAsia="Times New Roman" w:hAnsi="Times New Roman" w:cs="Times New Roman"/>
          <w:i/>
          <w:iCs/>
          <w:sz w:val="24"/>
          <w:szCs w:val="24"/>
          <w:lang w:eastAsia="en-GB"/>
        </w:rPr>
        <w:t xml:space="preserve"> and tables</w:t>
      </w:r>
      <w:r w:rsidRPr="00AE096B">
        <w:rPr>
          <w:rFonts w:ascii="Times New Roman" w:eastAsia="Times New Roman" w:hAnsi="Times New Roman" w:cs="Times New Roman"/>
          <w:i/>
          <w:iCs/>
          <w:sz w:val="24"/>
          <w:szCs w:val="24"/>
          <w:lang w:eastAsia="en-GB"/>
        </w:rPr>
        <w:t>.</w:t>
      </w:r>
    </w:p>
    <w:p w14:paraId="2ACA00ED" w14:textId="77777777" w:rsidR="00BA5550" w:rsidRDefault="00BA5550" w:rsidP="00853D6A">
      <w:pPr>
        <w:spacing w:after="0" w:line="360" w:lineRule="auto"/>
        <w:rPr>
          <w:rFonts w:ascii="Times New Roman" w:eastAsia="Times New Roman" w:hAnsi="Times New Roman" w:cs="Times New Roman"/>
          <w:bCs/>
          <w:i/>
          <w:iCs/>
          <w:color w:val="000000"/>
          <w:sz w:val="24"/>
          <w:szCs w:val="24"/>
          <w:lang w:eastAsia="en-GB"/>
        </w:rPr>
      </w:pPr>
    </w:p>
    <w:p w14:paraId="6FABD304" w14:textId="0FEC86E1" w:rsidR="00AE096B" w:rsidRPr="00AE096B" w:rsidRDefault="00AE096B" w:rsidP="00AE096B">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Standardise the reference style throughout the reference list</w:t>
      </w:r>
    </w:p>
    <w:p w14:paraId="2D81AB9F" w14:textId="38810E7D" w:rsidR="00AE096B" w:rsidRPr="00AE096B" w:rsidRDefault="00AE096B" w:rsidP="00AE096B">
      <w:pPr>
        <w:spacing w:after="0" w:line="360" w:lineRule="auto"/>
        <w:rPr>
          <w:rFonts w:ascii="Times New Roman" w:eastAsia="Times New Roman" w:hAnsi="Times New Roman" w:cs="Times New Roman"/>
          <w:bCs/>
          <w:i/>
          <w:iCs/>
          <w:color w:val="000000"/>
          <w:sz w:val="24"/>
          <w:szCs w:val="24"/>
          <w:lang w:eastAsia="en-GB"/>
        </w:rPr>
      </w:pPr>
      <w:r w:rsidRPr="00AE096B">
        <w:rPr>
          <w:rFonts w:ascii="Times New Roman" w:eastAsia="Times New Roman" w:hAnsi="Times New Roman" w:cs="Times New Roman"/>
          <w:i/>
          <w:iCs/>
          <w:sz w:val="24"/>
          <w:szCs w:val="24"/>
          <w:lang w:eastAsia="en-GB"/>
        </w:rPr>
        <w:t>This has been done, with all references having been standardised to have initials only.</w:t>
      </w:r>
    </w:p>
    <w:p w14:paraId="39F5E630" w14:textId="298CA41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137EF7D8" w14:textId="08F6E0E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021DCF30" w14:textId="4CA227CC"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03DDA245" w14:textId="68A6DD6C"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64896674" w14:textId="062C5167"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6D3B870D" w14:textId="1FB8E520"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25CD9E96" w14:textId="5A5CC6E7" w:rsidR="00316488" w:rsidRDefault="00587211" w:rsidP="0031648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Alterations based on comments in the hard copies of the manuscript.</w:t>
      </w:r>
    </w:p>
    <w:p w14:paraId="71F4F2F8" w14:textId="17123496"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Pg 20 </w:t>
      </w:r>
      <w:r w:rsidR="00316488" w:rsidRPr="00316488">
        <w:rPr>
          <w:rFonts w:ascii="Times New Roman" w:eastAsia="Times New Roman" w:hAnsi="Times New Roman" w:cs="Times New Roman"/>
          <w:bCs/>
          <w:color w:val="000000"/>
          <w:sz w:val="24"/>
          <w:szCs w:val="24"/>
          <w:lang w:eastAsia="en-GB"/>
        </w:rPr>
        <w:t xml:space="preserve">with decay constant </w:t>
      </w:r>
      <w:r w:rsidR="006B4C75">
        <w:rPr>
          <w:rFonts w:ascii="Times New Roman" w:eastAsia="Times New Roman" w:hAnsi="Times New Roman" w:cs="Times New Roman"/>
          <w:bCs/>
          <w:color w:val="000000"/>
          <w:sz w:val="24"/>
          <w:szCs w:val="24"/>
          <w:lang w:eastAsia="en-GB"/>
        </w:rPr>
        <w:t>µ</w:t>
      </w:r>
      <w:r w:rsidR="006B4C75" w:rsidRPr="006B4C75">
        <w:rPr>
          <w:rFonts w:ascii="Times New Roman" w:eastAsia="Times New Roman" w:hAnsi="Times New Roman" w:cs="Times New Roman"/>
          <w:bCs/>
          <w:color w:val="000000"/>
          <w:sz w:val="24"/>
          <w:szCs w:val="24"/>
          <w:vertAlign w:val="subscript"/>
          <w:lang w:eastAsia="en-GB"/>
        </w:rPr>
        <w:t>a</w:t>
      </w:r>
      <w:r w:rsidR="006B4C75">
        <w:rPr>
          <w:rFonts w:ascii="Times New Roman" w:eastAsia="Times New Roman" w:hAnsi="Times New Roman" w:cs="Times New Roman"/>
          <w:bCs/>
          <w:color w:val="000000"/>
          <w:sz w:val="24"/>
          <w:szCs w:val="24"/>
          <w:lang w:eastAsia="en-GB"/>
        </w:rPr>
        <w:t xml:space="preserve"> </w:t>
      </w:r>
      <w:r w:rsidR="00316488" w:rsidRPr="00316488">
        <w:rPr>
          <w:rFonts w:ascii="Times New Roman" w:eastAsia="Times New Roman" w:hAnsi="Times New Roman" w:cs="Times New Roman"/>
          <w:bCs/>
          <w:color w:val="000000"/>
          <w:sz w:val="24"/>
          <w:szCs w:val="24"/>
          <w:lang w:eastAsia="en-GB"/>
        </w:rPr>
        <w:t>known as the absorption coefficient having units</w:t>
      </w:r>
      <w:r w:rsidR="006B4C75">
        <w:rPr>
          <w:rFonts w:ascii="Times New Roman" w:eastAsia="Times New Roman" w:hAnsi="Times New Roman" w:cs="Times New Roman"/>
          <w:bCs/>
          <w:color w:val="000000"/>
          <w:sz w:val="24"/>
          <w:szCs w:val="24"/>
          <w:lang w:eastAsia="en-GB"/>
        </w:rPr>
        <w:t xml:space="preserve"> mm</w:t>
      </w:r>
      <w:r w:rsidR="006B4C75">
        <w:rPr>
          <w:rFonts w:ascii="Times New Roman" w:eastAsia="Times New Roman" w:hAnsi="Times New Roman" w:cs="Times New Roman"/>
          <w:bCs/>
          <w:color w:val="000000"/>
          <w:sz w:val="24"/>
          <w:szCs w:val="24"/>
          <w:vertAlign w:val="superscript"/>
          <w:lang w:eastAsia="en-GB"/>
        </w:rPr>
        <w:t>-1</w:t>
      </w:r>
      <w:r w:rsidR="00316488" w:rsidRPr="00316488">
        <w:rPr>
          <w:rFonts w:ascii="Times New Roman" w:eastAsia="Times New Roman" w:hAnsi="Times New Roman" w:cs="Times New Roman"/>
          <w:bCs/>
          <w:color w:val="000000"/>
          <w:sz w:val="24"/>
          <w:szCs w:val="24"/>
          <w:lang w:eastAsia="en-GB"/>
        </w:rPr>
        <w:t xml:space="preserve">, </w:t>
      </w:r>
      <w:r w:rsidR="00316488" w:rsidRPr="006B4C75">
        <w:rPr>
          <w:rFonts w:ascii="Times New Roman" w:eastAsia="Times New Roman" w:hAnsi="Times New Roman" w:cs="Times New Roman"/>
          <w:bCs/>
          <w:color w:val="FF0000"/>
          <w:sz w:val="24"/>
          <w:szCs w:val="24"/>
          <w:lang w:eastAsia="en-GB"/>
        </w:rPr>
        <w:t>commonly chosen as such within the literature in place of their SI unit equivalent as they provide a sensible numerical scaling of values.</w:t>
      </w:r>
    </w:p>
    <w:p w14:paraId="2008B80D" w14:textId="56886311"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Pg 23 </w:t>
      </w:r>
      <w:r w:rsidR="00316488" w:rsidRPr="00316488">
        <w:rPr>
          <w:rFonts w:ascii="Times New Roman" w:eastAsia="Times New Roman" w:hAnsi="Times New Roman" w:cs="Times New Roman"/>
          <w:bCs/>
          <w:color w:val="000000"/>
          <w:sz w:val="24"/>
          <w:szCs w:val="24"/>
          <w:lang w:eastAsia="en-GB"/>
        </w:rPr>
        <w:t xml:space="preserve">Importantly, when bound to oxygen </w:t>
      </w:r>
      <w:r w:rsidR="00316488" w:rsidRPr="009F3181">
        <w:rPr>
          <w:rFonts w:ascii="Times New Roman" w:eastAsia="Times New Roman" w:hAnsi="Times New Roman" w:cs="Times New Roman"/>
          <w:bCs/>
          <w:color w:val="FF0000"/>
          <w:sz w:val="24"/>
          <w:szCs w:val="24"/>
          <w:lang w:eastAsia="en-GB"/>
        </w:rPr>
        <w:t>molecules at up to four potential binding sites,</w:t>
      </w:r>
    </w:p>
    <w:p w14:paraId="3B54EAF9" w14:textId="2D35338B" w:rsidR="00A9343C" w:rsidRPr="00A9343C" w:rsidRDefault="002A4797"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lastRenderedPageBreak/>
        <w:t xml:space="preserve">Pg 26 </w:t>
      </w:r>
      <w:r w:rsidR="009F3181" w:rsidRPr="009F3181">
        <w:rPr>
          <w:rFonts w:ascii="Times New Roman" w:eastAsia="Times New Roman" w:hAnsi="Times New Roman" w:cs="Times New Roman"/>
          <w:bCs/>
          <w:color w:val="000000"/>
          <w:sz w:val="24"/>
          <w:szCs w:val="24"/>
          <w:lang w:eastAsia="en-GB"/>
        </w:rPr>
        <w:t xml:space="preserve">The later has been commonly implemented in joint imaging, presumably as it should provide a better dynamic range for this application </w:t>
      </w:r>
      <w:r w:rsidR="009F3181" w:rsidRPr="009F3181">
        <w:rPr>
          <w:rFonts w:ascii="Times New Roman" w:eastAsia="Times New Roman" w:hAnsi="Times New Roman" w:cs="Times New Roman"/>
          <w:bCs/>
          <w:color w:val="FF0000"/>
          <w:sz w:val="24"/>
          <w:szCs w:val="24"/>
          <w:lang w:eastAsia="en-GB"/>
        </w:rPr>
        <w:t xml:space="preserve">as a result </w:t>
      </w:r>
      <w:r w:rsidR="009F3181">
        <w:rPr>
          <w:rFonts w:ascii="Times New Roman" w:eastAsia="Times New Roman" w:hAnsi="Times New Roman" w:cs="Times New Roman"/>
          <w:bCs/>
          <w:color w:val="FF0000"/>
          <w:sz w:val="24"/>
          <w:szCs w:val="24"/>
          <w:lang w:eastAsia="en-GB"/>
        </w:rPr>
        <w:t>of a</w:t>
      </w:r>
      <w:r w:rsidR="009F3181" w:rsidRPr="009F3181">
        <w:rPr>
          <w:rFonts w:ascii="Times New Roman" w:eastAsia="Times New Roman" w:hAnsi="Times New Roman" w:cs="Times New Roman"/>
          <w:bCs/>
          <w:color w:val="FF0000"/>
          <w:sz w:val="24"/>
          <w:szCs w:val="24"/>
          <w:lang w:eastAsia="en-GB"/>
        </w:rPr>
        <w:t xml:space="preserve"> smaller variation in </w:t>
      </w:r>
      <w:r w:rsidR="009F3181">
        <w:rPr>
          <w:rFonts w:ascii="Times New Roman" w:eastAsia="Times New Roman" w:hAnsi="Times New Roman" w:cs="Times New Roman"/>
          <w:bCs/>
          <w:color w:val="FF0000"/>
          <w:sz w:val="24"/>
          <w:szCs w:val="24"/>
          <w:lang w:eastAsia="en-GB"/>
        </w:rPr>
        <w:t xml:space="preserve">the </w:t>
      </w:r>
      <w:r w:rsidR="009F3181" w:rsidRPr="009F3181">
        <w:rPr>
          <w:rFonts w:ascii="Times New Roman" w:eastAsia="Times New Roman" w:hAnsi="Times New Roman" w:cs="Times New Roman"/>
          <w:bCs/>
          <w:color w:val="FF0000"/>
          <w:sz w:val="24"/>
          <w:szCs w:val="24"/>
          <w:lang w:eastAsia="en-GB"/>
        </w:rPr>
        <w:t xml:space="preserve">pathlength </w:t>
      </w:r>
      <w:r w:rsidR="009F3181">
        <w:rPr>
          <w:rFonts w:ascii="Times New Roman" w:eastAsia="Times New Roman" w:hAnsi="Times New Roman" w:cs="Times New Roman"/>
          <w:bCs/>
          <w:color w:val="FF0000"/>
          <w:sz w:val="24"/>
          <w:szCs w:val="24"/>
          <w:lang w:eastAsia="en-GB"/>
        </w:rPr>
        <w:t>when considering</w:t>
      </w:r>
      <w:r w:rsidR="009F3181" w:rsidRPr="009F3181">
        <w:rPr>
          <w:rFonts w:ascii="Times New Roman" w:eastAsia="Times New Roman" w:hAnsi="Times New Roman" w:cs="Times New Roman"/>
          <w:bCs/>
          <w:color w:val="FF0000"/>
          <w:sz w:val="24"/>
          <w:szCs w:val="24"/>
          <w:lang w:eastAsia="en-GB"/>
        </w:rPr>
        <w:t xml:space="preserve"> source-detector pairs for an array of detectors on an opposing boundary of a cylindrical-like </w:t>
      </w:r>
      <w:r w:rsidR="009F3181">
        <w:rPr>
          <w:rFonts w:ascii="Times New Roman" w:eastAsia="Times New Roman" w:hAnsi="Times New Roman" w:cs="Times New Roman"/>
          <w:bCs/>
          <w:color w:val="FF0000"/>
          <w:sz w:val="24"/>
          <w:szCs w:val="24"/>
          <w:lang w:eastAsia="en-GB"/>
        </w:rPr>
        <w:t xml:space="preserve">object when compared to </w:t>
      </w:r>
      <w:r w:rsidR="009F3181" w:rsidRPr="009F3181">
        <w:rPr>
          <w:rFonts w:ascii="Times New Roman" w:eastAsia="Times New Roman" w:hAnsi="Times New Roman" w:cs="Times New Roman"/>
          <w:bCs/>
          <w:color w:val="FF0000"/>
          <w:sz w:val="24"/>
          <w:szCs w:val="24"/>
          <w:lang w:eastAsia="en-GB"/>
        </w:rPr>
        <w:t>reflectance mode</w:t>
      </w:r>
      <w:r w:rsidR="009F3181">
        <w:rPr>
          <w:rFonts w:ascii="Times New Roman" w:eastAsia="Times New Roman" w:hAnsi="Times New Roman" w:cs="Times New Roman"/>
          <w:bCs/>
          <w:color w:val="FF0000"/>
          <w:sz w:val="24"/>
          <w:szCs w:val="24"/>
          <w:lang w:eastAsia="en-GB"/>
        </w:rPr>
        <w:t>,</w:t>
      </w:r>
      <w:r w:rsidR="009F3181" w:rsidRPr="009F3181">
        <w:rPr>
          <w:rFonts w:ascii="Times New Roman" w:eastAsia="Times New Roman" w:hAnsi="Times New Roman" w:cs="Times New Roman"/>
          <w:bCs/>
          <w:color w:val="FF0000"/>
          <w:sz w:val="24"/>
          <w:szCs w:val="24"/>
          <w:lang w:eastAsia="en-GB"/>
        </w:rPr>
        <w:t xml:space="preserve"> when sources and detectors are placed on a common boundary</w:t>
      </w:r>
      <w:r w:rsidR="009F3181" w:rsidRPr="009F3181">
        <w:rPr>
          <w:rFonts w:ascii="Times New Roman" w:eastAsia="Times New Roman" w:hAnsi="Times New Roman" w:cs="Times New Roman"/>
          <w:bCs/>
          <w:color w:val="000000"/>
          <w:sz w:val="24"/>
          <w:szCs w:val="24"/>
          <w:lang w:eastAsia="en-GB"/>
        </w:rPr>
        <w:t>.</w:t>
      </w:r>
    </w:p>
    <w:p w14:paraId="613641A4" w14:textId="1B693010" w:rsidR="00395C03" w:rsidRPr="0020363E" w:rsidRDefault="002A4797"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Pg 34 </w:t>
      </w:r>
      <w:r w:rsidR="00EC14F9" w:rsidRPr="00EC14F9">
        <w:rPr>
          <w:rFonts w:ascii="Times New Roman" w:eastAsia="Times New Roman" w:hAnsi="Times New Roman" w:cs="Times New Roman"/>
          <w:bCs/>
          <w:color w:val="000000"/>
          <w:sz w:val="24"/>
          <w:szCs w:val="24"/>
          <w:lang w:eastAsia="en-GB"/>
        </w:rPr>
        <w:t xml:space="preserve">Through </w:t>
      </w:r>
      <w:r w:rsidR="00EC14F9" w:rsidRPr="00EC14F9">
        <w:rPr>
          <w:rFonts w:ascii="Times New Roman" w:eastAsia="Times New Roman" w:hAnsi="Times New Roman" w:cs="Times New Roman"/>
          <w:bCs/>
          <w:color w:val="FF0000"/>
          <w:sz w:val="24"/>
          <w:szCs w:val="24"/>
          <w:lang w:eastAsia="en-GB"/>
        </w:rPr>
        <w:t>optimising a wavelength set selecting a combination that simultaneously minimise k and maximise R,</w:t>
      </w:r>
    </w:p>
    <w:p w14:paraId="2D6583F8" w14:textId="49051311" w:rsidR="0020363E" w:rsidRPr="00395C03" w:rsidRDefault="0020363E"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sidRPr="0020363E">
        <w:rPr>
          <w:rFonts w:ascii="Times New Roman" w:eastAsia="Times New Roman" w:hAnsi="Times New Roman" w:cs="Times New Roman"/>
          <w:bCs/>
          <w:sz w:val="24"/>
          <w:szCs w:val="24"/>
          <w:lang w:eastAsia="en-GB"/>
        </w:rPr>
        <w:t>Pg130</w:t>
      </w:r>
      <w:r>
        <w:rPr>
          <w:rFonts w:ascii="Times New Roman" w:eastAsia="Times New Roman" w:hAnsi="Times New Roman" w:cs="Times New Roman"/>
          <w:bCs/>
          <w:color w:val="FF0000"/>
          <w:sz w:val="24"/>
          <w:szCs w:val="24"/>
          <w:lang w:eastAsia="en-GB"/>
        </w:rPr>
        <w:t xml:space="preserve"> </w:t>
      </w:r>
      <w:r w:rsidRPr="0020363E">
        <w:rPr>
          <w:rFonts w:ascii="Times New Roman" w:eastAsia="Times New Roman" w:hAnsi="Times New Roman" w:cs="Times New Roman"/>
          <w:bCs/>
          <w:color w:val="FF0000"/>
          <w:sz w:val="24"/>
          <w:szCs w:val="24"/>
          <w:lang w:eastAsia="en-GB"/>
        </w:rPr>
        <w:t>The null hypothesis that the median values between different subjects were equal was rejected for all features except minimum S</w:t>
      </w:r>
      <w:r w:rsidRPr="0020363E">
        <w:rPr>
          <w:rFonts w:ascii="Times New Roman" w:eastAsia="Times New Roman" w:hAnsi="Times New Roman" w:cs="Times New Roman"/>
          <w:bCs/>
          <w:color w:val="FF0000"/>
          <w:sz w:val="24"/>
          <w:szCs w:val="24"/>
          <w:vertAlign w:val="subscript"/>
          <w:lang w:eastAsia="en-GB"/>
        </w:rPr>
        <w:t>A</w:t>
      </w:r>
      <w:r>
        <w:rPr>
          <w:rFonts w:ascii="Times New Roman" w:eastAsia="Times New Roman" w:hAnsi="Times New Roman" w:cs="Times New Roman"/>
          <w:bCs/>
          <w:color w:val="FF0000"/>
          <w:sz w:val="24"/>
          <w:szCs w:val="24"/>
          <w:vertAlign w:val="subscript"/>
          <w:lang w:eastAsia="en-GB"/>
        </w:rPr>
        <w:t>,</w:t>
      </w:r>
      <w:r w:rsidRPr="0020363E">
        <w:rPr>
          <w:rFonts w:ascii="Times New Roman" w:eastAsia="Times New Roman" w:hAnsi="Times New Roman" w:cs="Times New Roman"/>
          <w:bCs/>
          <w:color w:val="FF0000"/>
          <w:sz w:val="24"/>
          <w:szCs w:val="24"/>
          <w:lang w:eastAsia="en-GB"/>
        </w:rPr>
        <w:t xml:space="preserve"> with the majority of p-values much less than 0.05, meaning a statistical difference was seen between different participants in recovered pathophysiological parameters in these cases. In contrast, the null hypothesis that the median values were between different subjects was accepted for all features for variability between fingers, with the exception of minimum tHb.</w:t>
      </w:r>
    </w:p>
    <w:p w14:paraId="71F258E5" w14:textId="77777777" w:rsidR="007C54CB" w:rsidRPr="007C54CB" w:rsidRDefault="007C54CB" w:rsidP="007C54CB">
      <w:pPr>
        <w:pStyle w:val="ListParagraph"/>
        <w:numPr>
          <w:ilvl w:val="0"/>
          <w:numId w:val="9"/>
        </w:numPr>
        <w:spacing w:after="0" w:line="360" w:lineRule="auto"/>
        <w:rPr>
          <w:rFonts w:ascii="Times New Roman" w:eastAsia="Times New Roman" w:hAnsi="Times New Roman" w:cs="Times New Roman"/>
          <w:bCs/>
          <w:color w:val="FF0000"/>
          <w:sz w:val="24"/>
          <w:szCs w:val="24"/>
          <w:lang w:eastAsia="en-GB"/>
        </w:rPr>
      </w:pPr>
      <w:r>
        <w:rPr>
          <w:rFonts w:ascii="Times New Roman" w:eastAsia="Times New Roman" w:hAnsi="Times New Roman" w:cs="Times New Roman"/>
          <w:bCs/>
          <w:color w:val="000000"/>
          <w:sz w:val="24"/>
          <w:szCs w:val="24"/>
          <w:lang w:eastAsia="en-GB"/>
        </w:rPr>
        <w:t xml:space="preserve">Pg138 </w:t>
      </w:r>
      <w:r w:rsidRPr="007C54CB">
        <w:rPr>
          <w:rFonts w:ascii="Times New Roman" w:eastAsia="Times New Roman" w:hAnsi="Times New Roman" w:cs="Times New Roman"/>
          <w:bCs/>
          <w:color w:val="000000"/>
          <w:sz w:val="24"/>
          <w:szCs w:val="24"/>
          <w:lang w:eastAsia="en-GB"/>
        </w:rPr>
        <w:t xml:space="preserve">Following the release of the cuff pressure, the total optical transmission increases, typically returning to a slightly lower value during recovery than initial baseline at rest. </w:t>
      </w:r>
      <w:r w:rsidRPr="007C54CB">
        <w:rPr>
          <w:rFonts w:ascii="Times New Roman" w:eastAsia="Times New Roman" w:hAnsi="Times New Roman" w:cs="Times New Roman"/>
          <w:bCs/>
          <w:color w:val="FF0000"/>
          <w:sz w:val="24"/>
          <w:szCs w:val="24"/>
          <w:lang w:eastAsia="en-GB"/>
        </w:rPr>
        <w:t>This may be a result of the large level of blood pooling occurring during venous occlusion and would be expected to return to baseline values given a longer total monitoring time.</w:t>
      </w:r>
    </w:p>
    <w:p w14:paraId="5CB08B43" w14:textId="1CACDA8F" w:rsidR="003C1876" w:rsidRPr="00AE216A" w:rsidRDefault="00395C03"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sidRPr="00395C03">
        <w:rPr>
          <w:rFonts w:ascii="Times New Roman" w:eastAsia="Times New Roman" w:hAnsi="Times New Roman" w:cs="Times New Roman"/>
          <w:bCs/>
          <w:sz w:val="24"/>
          <w:szCs w:val="24"/>
          <w:lang w:eastAsia="en-GB"/>
        </w:rPr>
        <w:t>Pg 143</w:t>
      </w:r>
      <w:r>
        <w:rPr>
          <w:rFonts w:ascii="Times New Roman" w:eastAsia="Times New Roman" w:hAnsi="Times New Roman" w:cs="Times New Roman"/>
          <w:bCs/>
          <w:color w:val="FF0000"/>
          <w:sz w:val="24"/>
          <w:szCs w:val="24"/>
          <w:lang w:eastAsia="en-GB"/>
        </w:rPr>
        <w:t xml:space="preserve"> </w:t>
      </w:r>
      <w:r w:rsidRPr="00395C03">
        <w:rPr>
          <w:rFonts w:ascii="Times New Roman" w:eastAsia="Times New Roman" w:hAnsi="Times New Roman" w:cs="Times New Roman"/>
          <w:bCs/>
          <w:color w:val="FF0000"/>
          <w:sz w:val="24"/>
          <w:szCs w:val="24"/>
          <w:lang w:eastAsia="en-GB"/>
        </w:rPr>
        <w:t>In future work, extending these healthy studies to a larger cohort, in which volunteer enrolment is controlled for age and sex matching with arthritis patient demographics, would be beneficial in order to minimise any volunteer bias and provide a control group dataset more comparable with patient studies.</w:t>
      </w:r>
    </w:p>
    <w:p w14:paraId="2E4965B5" w14:textId="7AD94652" w:rsidR="00AE216A" w:rsidRPr="00C50CBC" w:rsidRDefault="00AE216A"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sz w:val="24"/>
          <w:szCs w:val="24"/>
          <w:lang w:eastAsia="en-GB"/>
        </w:rPr>
        <w:t>Pg 171. Labels added to this Figure 6.16</w:t>
      </w:r>
      <w:bookmarkStart w:id="0" w:name="_GoBack"/>
      <w:bookmarkEnd w:id="0"/>
      <w:r>
        <w:rPr>
          <w:rFonts w:ascii="Times New Roman" w:eastAsia="Times New Roman" w:hAnsi="Times New Roman" w:cs="Times New Roman"/>
          <w:bCs/>
          <w:sz w:val="24"/>
          <w:szCs w:val="24"/>
          <w:lang w:eastAsia="en-GB"/>
        </w:rPr>
        <w:t>.</w:t>
      </w:r>
    </w:p>
    <w:p w14:paraId="367E337B" w14:textId="77777777" w:rsidR="00395C03" w:rsidRDefault="00395C03" w:rsidP="004E3318">
      <w:pPr>
        <w:spacing w:after="0" w:line="360" w:lineRule="auto"/>
        <w:rPr>
          <w:rFonts w:ascii="Times New Roman" w:eastAsia="Times New Roman" w:hAnsi="Times New Roman" w:cs="Times New Roman"/>
          <w:bCs/>
          <w:color w:val="000000"/>
          <w:sz w:val="24"/>
          <w:szCs w:val="24"/>
          <w:lang w:eastAsia="en-GB"/>
        </w:rPr>
      </w:pPr>
    </w:p>
    <w:p w14:paraId="2E4A016A" w14:textId="7777777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0203EC7F" w14:textId="383D2537"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To DO:</w:t>
      </w:r>
    </w:p>
    <w:p w14:paraId="00EAF4B4" w14:textId="173073EA"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Comments from Amy Fig 2.12</w:t>
      </w:r>
    </w:p>
    <w:p w14:paraId="38DBA5DC" w14:textId="6523AAAE"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Expand Fig3.7</w:t>
      </w:r>
    </w:p>
    <w:p w14:paraId="2457C142" w14:textId="7C8455F5"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Explain 5.6 better</w:t>
      </w:r>
    </w:p>
    <w:p w14:paraId="7BE2A205" w14:textId="6DD7FEB9"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Correct table 5.1</w:t>
      </w:r>
    </w:p>
    <w:p w14:paraId="6274EC68" w14:textId="194AFACE" w:rsidR="000570F4" w:rsidRDefault="003C35C1" w:rsidP="00622594">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Label 6.16</w:t>
      </w:r>
    </w:p>
    <w:p w14:paraId="6C8481E8" w14:textId="79CF5C85" w:rsidR="0097301B" w:rsidRDefault="0097301B" w:rsidP="00622594">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Pg 119 movements?</w:t>
      </w:r>
    </w:p>
    <w:p w14:paraId="3B50019B" w14:textId="77777777" w:rsidR="0057314D" w:rsidRPr="004E3318" w:rsidRDefault="0057314D" w:rsidP="004E3318">
      <w:pPr>
        <w:spacing w:after="0" w:line="360" w:lineRule="auto"/>
        <w:rPr>
          <w:rFonts w:ascii="Times New Roman" w:eastAsia="Times New Roman" w:hAnsi="Times New Roman" w:cs="Times New Roman"/>
          <w:bCs/>
          <w:color w:val="000000"/>
          <w:sz w:val="24"/>
          <w:szCs w:val="24"/>
          <w:lang w:eastAsia="en-GB"/>
        </w:rPr>
      </w:pPr>
    </w:p>
    <w:p w14:paraId="399E1EA8" w14:textId="754F03F3"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lastRenderedPageBreak/>
        <w:t>We hope we have addressed all issues raised by the reviewers and we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77777777"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Lighter (on behalf of all authors)</w:t>
      </w:r>
    </w:p>
    <w:sectPr w:rsidR="00FD395D" w:rsidRPr="0004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345CC"/>
    <w:rsid w:val="00034A0F"/>
    <w:rsid w:val="00041A32"/>
    <w:rsid w:val="00044812"/>
    <w:rsid w:val="000570F4"/>
    <w:rsid w:val="00086945"/>
    <w:rsid w:val="000B3BD1"/>
    <w:rsid w:val="000C39F7"/>
    <w:rsid w:val="000C74B7"/>
    <w:rsid w:val="000E0FDA"/>
    <w:rsid w:val="000F398C"/>
    <w:rsid w:val="00121816"/>
    <w:rsid w:val="001231F6"/>
    <w:rsid w:val="001E15B8"/>
    <w:rsid w:val="001E6812"/>
    <w:rsid w:val="00201805"/>
    <w:rsid w:val="0020363E"/>
    <w:rsid w:val="00204857"/>
    <w:rsid w:val="00294E63"/>
    <w:rsid w:val="002A4797"/>
    <w:rsid w:val="002B6F01"/>
    <w:rsid w:val="002C3E05"/>
    <w:rsid w:val="002D56B6"/>
    <w:rsid w:val="00303C94"/>
    <w:rsid w:val="0030592A"/>
    <w:rsid w:val="00306FFE"/>
    <w:rsid w:val="00316488"/>
    <w:rsid w:val="00321678"/>
    <w:rsid w:val="00323009"/>
    <w:rsid w:val="00340C56"/>
    <w:rsid w:val="00395C03"/>
    <w:rsid w:val="003A2CF3"/>
    <w:rsid w:val="003C1876"/>
    <w:rsid w:val="003C35C1"/>
    <w:rsid w:val="004101EE"/>
    <w:rsid w:val="0044776B"/>
    <w:rsid w:val="004747DB"/>
    <w:rsid w:val="00494BD7"/>
    <w:rsid w:val="004E3318"/>
    <w:rsid w:val="004E58A2"/>
    <w:rsid w:val="004E722B"/>
    <w:rsid w:val="004F39A0"/>
    <w:rsid w:val="00506862"/>
    <w:rsid w:val="00513F45"/>
    <w:rsid w:val="00542B69"/>
    <w:rsid w:val="00547AE4"/>
    <w:rsid w:val="00564A2F"/>
    <w:rsid w:val="0057314D"/>
    <w:rsid w:val="0057394D"/>
    <w:rsid w:val="00587211"/>
    <w:rsid w:val="00617A3B"/>
    <w:rsid w:val="00622594"/>
    <w:rsid w:val="00666EAB"/>
    <w:rsid w:val="0066745A"/>
    <w:rsid w:val="006B23B8"/>
    <w:rsid w:val="006B4C75"/>
    <w:rsid w:val="006B61DE"/>
    <w:rsid w:val="006C2063"/>
    <w:rsid w:val="00701CC0"/>
    <w:rsid w:val="00754B58"/>
    <w:rsid w:val="00782126"/>
    <w:rsid w:val="007C54CB"/>
    <w:rsid w:val="007E63C7"/>
    <w:rsid w:val="00853D6A"/>
    <w:rsid w:val="008715C8"/>
    <w:rsid w:val="008B7384"/>
    <w:rsid w:val="008E4A6F"/>
    <w:rsid w:val="008E784C"/>
    <w:rsid w:val="008F7D61"/>
    <w:rsid w:val="009142E2"/>
    <w:rsid w:val="009244F7"/>
    <w:rsid w:val="00942BA5"/>
    <w:rsid w:val="00961E97"/>
    <w:rsid w:val="0097301B"/>
    <w:rsid w:val="009847A4"/>
    <w:rsid w:val="00996C34"/>
    <w:rsid w:val="009B0549"/>
    <w:rsid w:val="009F3181"/>
    <w:rsid w:val="00A1305E"/>
    <w:rsid w:val="00A22D59"/>
    <w:rsid w:val="00A45B09"/>
    <w:rsid w:val="00A9343C"/>
    <w:rsid w:val="00A96152"/>
    <w:rsid w:val="00AB48F0"/>
    <w:rsid w:val="00AD4724"/>
    <w:rsid w:val="00AE096B"/>
    <w:rsid w:val="00AE216A"/>
    <w:rsid w:val="00AE7F71"/>
    <w:rsid w:val="00B220DF"/>
    <w:rsid w:val="00B46955"/>
    <w:rsid w:val="00B503D5"/>
    <w:rsid w:val="00B625C6"/>
    <w:rsid w:val="00B808D2"/>
    <w:rsid w:val="00BA5374"/>
    <w:rsid w:val="00BA5550"/>
    <w:rsid w:val="00C17A1B"/>
    <w:rsid w:val="00C4169A"/>
    <w:rsid w:val="00C50CBC"/>
    <w:rsid w:val="00C94DE4"/>
    <w:rsid w:val="00CA5E4A"/>
    <w:rsid w:val="00CF0E09"/>
    <w:rsid w:val="00D0043E"/>
    <w:rsid w:val="00D2152F"/>
    <w:rsid w:val="00D3348B"/>
    <w:rsid w:val="00D52EB4"/>
    <w:rsid w:val="00D61699"/>
    <w:rsid w:val="00D71E59"/>
    <w:rsid w:val="00D82C44"/>
    <w:rsid w:val="00DC6652"/>
    <w:rsid w:val="00E54E2F"/>
    <w:rsid w:val="00E83DD6"/>
    <w:rsid w:val="00EB7803"/>
    <w:rsid w:val="00EC14F9"/>
    <w:rsid w:val="00ED56D5"/>
    <w:rsid w:val="00EE50AF"/>
    <w:rsid w:val="00EF221A"/>
    <w:rsid w:val="00F158C1"/>
    <w:rsid w:val="00FA08A1"/>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6</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 Lighter</cp:lastModifiedBy>
  <cp:revision>62</cp:revision>
  <dcterms:created xsi:type="dcterms:W3CDTF">2019-12-30T11:49:00Z</dcterms:created>
  <dcterms:modified xsi:type="dcterms:W3CDTF">2020-03-08T20:55:00Z</dcterms:modified>
</cp:coreProperties>
</file>