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01C1" w:rsidRPr="00F060C7" w:rsidRDefault="000501C1" w:rsidP="000501C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0501C1" w:rsidRDefault="000501C1" w:rsidP="000501C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501C1">
        <w:rPr>
          <w:rFonts w:ascii="Times New Roman" w:hAnsi="Times New Roman" w:cs="Times New Roman"/>
          <w:b/>
          <w:bCs/>
          <w:sz w:val="32"/>
          <w:szCs w:val="32"/>
        </w:rPr>
        <w:t>Блок 1</w:t>
      </w:r>
      <w:r w:rsidR="009C3CD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0501C1" w:rsidRDefault="000501C1" w:rsidP="000501C1">
      <w:pPr>
        <w:rPr>
          <w:rFonts w:ascii="Times New Roman" w:hAnsi="Times New Roman" w:cs="Times New Roman"/>
          <w:b/>
          <w:bCs/>
        </w:rPr>
      </w:pPr>
    </w:p>
    <w:p w:rsidR="000501C1" w:rsidRDefault="000501C1" w:rsidP="000501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Всего представлено 12 отраслей</w:t>
      </w:r>
      <w:r w:rsidR="007E6B62" w:rsidRPr="007E6B62">
        <w:rPr>
          <w:rFonts w:ascii="Times New Roman" w:hAnsi="Times New Roman" w:cs="Times New Roman"/>
        </w:rPr>
        <w:t xml:space="preserve"> (</w:t>
      </w:r>
      <w:r w:rsidR="007E6B62">
        <w:rPr>
          <w:rFonts w:ascii="Times New Roman" w:hAnsi="Times New Roman" w:cs="Times New Roman"/>
        </w:rPr>
        <w:t>без учета облигаций / ценных бумаг)</w:t>
      </w:r>
      <w:r>
        <w:rPr>
          <w:rFonts w:ascii="Times New Roman" w:hAnsi="Times New Roman" w:cs="Times New Roman"/>
        </w:rPr>
        <w:t>:</w:t>
      </w:r>
    </w:p>
    <w:p w:rsidR="000501C1" w:rsidRDefault="000501C1" w:rsidP="000501C1">
      <w:pPr>
        <w:rPr>
          <w:rFonts w:ascii="Times New Roman" w:hAnsi="Times New Roman" w:cs="Times New Roman"/>
        </w:rPr>
      </w:pP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>'BNFC - нефинансовая компания', 'CBNK - кредитная организация',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'FLSG - лизинговая компания (фирма)',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'FOFO - прочие финансовые организации, в том числе специализированные общества',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'CO - прочий вид организации',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'FNPF - негосударственный пенсионный фонд',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'FINS - страховая организация',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'BNFH - холдинговая компания (нефинансовая)',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'FMFO - микрофинансовая организация', 'FDEP - депозитарий',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'FFCT - юридическое лицо, специализирующееся на предоставлении финансирования под уступку денежного требования (факторинговая компания)',</w:t>
      </w:r>
    </w:p>
    <w:p w:rsid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'IFO - международная финансовая организация'</w:t>
      </w:r>
    </w:p>
    <w:p w:rsidR="000501C1" w:rsidRDefault="000501C1" w:rsidP="000501C1">
      <w:pPr>
        <w:rPr>
          <w:rFonts w:ascii="Times New Roman" w:hAnsi="Times New Roman" w:cs="Times New Roman"/>
        </w:rPr>
      </w:pPr>
    </w:p>
    <w:p w:rsidR="000501C1" w:rsidRDefault="000501C1" w:rsidP="000501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этом для каждого из агенства имеем следующее (каждое агенство будет называться 1, 2 , 3 и 4)</w:t>
      </w:r>
    </w:p>
    <w:p w:rsidR="000501C1" w:rsidRDefault="000501C1" w:rsidP="000501C1">
      <w:pPr>
        <w:rPr>
          <w:rFonts w:ascii="Times New Roman" w:hAnsi="Times New Roman" w:cs="Times New Roman"/>
        </w:rPr>
      </w:pPr>
    </w:p>
    <w:p w:rsidR="000501C1" w:rsidRDefault="000501C1" w:rsidP="000501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Агенство_1: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</w:t>
      </w:r>
      <w:r>
        <w:rPr>
          <w:rFonts w:ascii="var(--jp-code-font-family)" w:hAnsi="var(--jp-code-font-family)"/>
        </w:rPr>
        <w:t>- BNFC - нефинансовая компания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CBNK - кредитная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FOFO - прочие финансовые организации, в том числе специализированные общества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CO - прочий вид организации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FNPF - негосударственный пенсионный фонд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FINS - страховая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BNFH - холдинговая компания (нефинансовая)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FMFO - микрофинансовая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FLSG - лизинговая компания (фирма)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FDEP - депозитарий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FFCT - юридическое лицо, специализирующееся на предоставлении финансирования под уступку денежного требования (факторинговая компания)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Агенство_2: 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</w:t>
      </w:r>
      <w:r>
        <w:rPr>
          <w:rFonts w:ascii="var(--jp-code-font-family)" w:hAnsi="var(--jp-code-font-family)"/>
        </w:rPr>
        <w:t>- BNFC - нефинансовая компания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FLSG - лизинговая компания (фирма)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CBNK - кредитная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FINS - страховая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FOFO - прочие финансовые организации, в том числе специализированные общества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BNFH - холдинговая компания (нефинансовая)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CO - прочий вид </w:t>
      </w:r>
      <w:r w:rsidRPr="007E6B62">
        <w:rPr>
          <w:rFonts w:ascii="Times New Roman" w:hAnsi="Times New Roman" w:cs="Times New Roman"/>
          <w:sz w:val="24"/>
          <w:szCs w:val="24"/>
        </w:rPr>
        <w:t>организации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FMFO - микрофинансовая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IFO - международная финансовая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FDEP - депозитарий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Агенство_3: 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</w:t>
      </w:r>
      <w:r w:rsidR="00B1420B">
        <w:rPr>
          <w:rFonts w:ascii="var(--jp-code-font-family)" w:hAnsi="var(--jp-code-font-family)"/>
          <w:lang w:val="en-US"/>
        </w:rPr>
        <w:t xml:space="preserve"> </w:t>
      </w:r>
      <w:r>
        <w:rPr>
          <w:rFonts w:ascii="var(--jp-code-font-family)" w:hAnsi="var(--jp-code-font-family)"/>
        </w:rPr>
        <w:t>- BNFC - нефинансовая компания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CBNK - кредитная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FINS - страховая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FLSG - лизинговая компания (фирма)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CO - прочий вид организации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BNFH - холдинговая компания (нефинансовая)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Агенство_4:</w:t>
      </w:r>
    </w:p>
    <w:p w:rsidR="000501C1" w:rsidRDefault="00B1420B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  <w:lang w:val="en-US"/>
        </w:rPr>
        <w:lastRenderedPageBreak/>
        <w:t xml:space="preserve">  </w:t>
      </w:r>
      <w:r w:rsidR="000501C1">
        <w:rPr>
          <w:rFonts w:ascii="var(--jp-code-font-family)" w:hAnsi="var(--jp-code-font-family)"/>
        </w:rPr>
        <w:t>- BNFC - нефинансовая компания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CBNK - кредитная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FINS - страховая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FLSG - лизинговая компания (фирма)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654DDB" w:rsidP="000501C1">
      <w:pPr>
        <w:rPr>
          <w:rFonts w:ascii="Times New Roman" w:hAnsi="Times New Roman" w:cs="Times New Roman"/>
          <w:b/>
          <w:bCs/>
        </w:rPr>
      </w:pPr>
      <w:r w:rsidRPr="00654DDB">
        <w:rPr>
          <w:rFonts w:ascii="Times New Roman" w:hAnsi="Times New Roman" w:cs="Times New Roman"/>
          <w:b/>
          <w:bCs/>
        </w:rPr>
        <w:t xml:space="preserve">Диаграммы распределения </w:t>
      </w:r>
      <w:r w:rsidR="00107DA5">
        <w:rPr>
          <w:rFonts w:ascii="Times New Roman" w:hAnsi="Times New Roman" w:cs="Times New Roman"/>
          <w:b/>
          <w:bCs/>
        </w:rPr>
        <w:t>присвоенных рейтингов</w:t>
      </w:r>
      <w:r w:rsidRPr="00654DDB">
        <w:rPr>
          <w:rFonts w:ascii="Times New Roman" w:hAnsi="Times New Roman" w:cs="Times New Roman"/>
          <w:b/>
          <w:bCs/>
        </w:rPr>
        <w:t xml:space="preserve"> по отраслям</w:t>
      </w:r>
      <w:r w:rsidR="00BF40E7">
        <w:rPr>
          <w:rFonts w:ascii="Times New Roman" w:hAnsi="Times New Roman" w:cs="Times New Roman"/>
          <w:b/>
          <w:bCs/>
        </w:rPr>
        <w:t xml:space="preserve"> (все, что начинается с </w:t>
      </w:r>
      <w:r w:rsidR="00BF40E7">
        <w:rPr>
          <w:rFonts w:ascii="Times New Roman" w:hAnsi="Times New Roman" w:cs="Times New Roman"/>
          <w:b/>
          <w:bCs/>
          <w:lang w:val="en-US"/>
        </w:rPr>
        <w:t>T</w:t>
      </w:r>
      <w:r w:rsidR="00BF40E7" w:rsidRPr="00BF40E7">
        <w:rPr>
          <w:rFonts w:ascii="Times New Roman" w:hAnsi="Times New Roman" w:cs="Times New Roman"/>
          <w:b/>
          <w:bCs/>
        </w:rPr>
        <w:t xml:space="preserve"> </w:t>
      </w:r>
      <w:r w:rsidR="00BF40E7">
        <w:rPr>
          <w:rFonts w:ascii="Times New Roman" w:hAnsi="Times New Roman" w:cs="Times New Roman"/>
          <w:b/>
          <w:bCs/>
        </w:rPr>
        <w:t>–</w:t>
      </w:r>
      <w:r w:rsidR="00BF40E7" w:rsidRPr="00BF40E7">
        <w:rPr>
          <w:rFonts w:ascii="Times New Roman" w:hAnsi="Times New Roman" w:cs="Times New Roman"/>
          <w:b/>
          <w:bCs/>
        </w:rPr>
        <w:t xml:space="preserve"> </w:t>
      </w:r>
      <w:r w:rsidR="00BF40E7">
        <w:rPr>
          <w:rFonts w:ascii="Times New Roman" w:hAnsi="Times New Roman" w:cs="Times New Roman"/>
          <w:b/>
          <w:bCs/>
        </w:rPr>
        <w:t>пропускать, так как относятся к облигациям / ценным бумагам)</w:t>
      </w:r>
      <w:r w:rsidRPr="00654DDB">
        <w:rPr>
          <w:rFonts w:ascii="Times New Roman" w:hAnsi="Times New Roman" w:cs="Times New Roman"/>
          <w:b/>
          <w:bCs/>
        </w:rPr>
        <w:t xml:space="preserve">: </w:t>
      </w: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  <w:r w:rsidRPr="00654DDB">
        <w:rPr>
          <w:rFonts w:ascii="Times New Roman" w:hAnsi="Times New Roman" w:cs="Times New Roman"/>
          <w:b/>
          <w:bCs/>
        </w:rPr>
        <w:drawing>
          <wp:inline distT="0" distB="0" distL="0" distR="0" wp14:anchorId="0B4EAE38" wp14:editId="6DADC07A">
            <wp:extent cx="4879649" cy="3190159"/>
            <wp:effectExtent l="0" t="0" r="0" b="0"/>
            <wp:docPr id="1491509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95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6298" cy="32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  <w:r w:rsidRPr="00654DDB">
        <w:rPr>
          <w:rFonts w:ascii="Times New Roman" w:hAnsi="Times New Roman" w:cs="Times New Roman"/>
          <w:b/>
          <w:bCs/>
        </w:rPr>
        <w:drawing>
          <wp:inline distT="0" distB="0" distL="0" distR="0" wp14:anchorId="41CD2FAE" wp14:editId="0F17D6EB">
            <wp:extent cx="4768553" cy="3327028"/>
            <wp:effectExtent l="0" t="0" r="0" b="635"/>
            <wp:docPr id="82117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6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560" cy="33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  <w:r w:rsidRPr="00654DDB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A8413E9" wp14:editId="050797D7">
            <wp:extent cx="4589041" cy="3409772"/>
            <wp:effectExtent l="0" t="0" r="0" b="0"/>
            <wp:docPr id="693631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31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8510" cy="34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  <w:r w:rsidRPr="00654DDB">
        <w:rPr>
          <w:rFonts w:ascii="Times New Roman" w:hAnsi="Times New Roman" w:cs="Times New Roman"/>
          <w:b/>
          <w:bCs/>
        </w:rPr>
        <w:drawing>
          <wp:inline distT="0" distB="0" distL="0" distR="0" wp14:anchorId="261113F1" wp14:editId="1B810595">
            <wp:extent cx="4466378" cy="3315768"/>
            <wp:effectExtent l="0" t="0" r="4445" b="0"/>
            <wp:docPr id="1312916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16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1479" cy="33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CA" w:rsidRDefault="00BB35CA" w:rsidP="00654DDB">
      <w:pPr>
        <w:jc w:val="center"/>
        <w:rPr>
          <w:rFonts w:ascii="Times New Roman" w:hAnsi="Times New Roman" w:cs="Times New Roman"/>
          <w:b/>
          <w:bCs/>
        </w:rPr>
      </w:pPr>
    </w:p>
    <w:p w:rsidR="00BB35CA" w:rsidRDefault="00BB35CA" w:rsidP="00654DDB">
      <w:pPr>
        <w:jc w:val="center"/>
        <w:rPr>
          <w:rFonts w:ascii="Times New Roman" w:hAnsi="Times New Roman" w:cs="Times New Roman"/>
          <w:b/>
          <w:bCs/>
        </w:rPr>
      </w:pPr>
    </w:p>
    <w:p w:rsidR="005B2471" w:rsidRDefault="005B2471" w:rsidP="005B247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B2471">
        <w:rPr>
          <w:rFonts w:ascii="Times New Roman" w:hAnsi="Times New Roman" w:cs="Times New Roman"/>
          <w:b/>
          <w:bCs/>
          <w:sz w:val="32"/>
          <w:szCs w:val="32"/>
        </w:rPr>
        <w:t>Блок 2</w:t>
      </w:r>
      <w:r w:rsidR="0076771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5B2471" w:rsidRPr="00CC7D6C" w:rsidRDefault="005B2471" w:rsidP="005B2471">
      <w:pPr>
        <w:rPr>
          <w:rFonts w:ascii="Times New Roman" w:hAnsi="Times New Roman" w:cs="Times New Roman"/>
          <w:b/>
          <w:bCs/>
        </w:rPr>
      </w:pPr>
    </w:p>
    <w:p w:rsidR="005B2471" w:rsidRPr="00CC7D6C" w:rsidRDefault="00CC7D6C" w:rsidP="005B2471">
      <w:pPr>
        <w:rPr>
          <w:rFonts w:ascii="Times New Roman" w:hAnsi="Times New Roman" w:cs="Times New Roman"/>
          <w:b/>
          <w:bCs/>
        </w:rPr>
      </w:pPr>
      <w:r w:rsidRPr="00CC7D6C">
        <w:rPr>
          <w:rFonts w:ascii="Times New Roman" w:hAnsi="Times New Roman" w:cs="Times New Roman"/>
          <w:b/>
          <w:bCs/>
        </w:rPr>
        <w:t xml:space="preserve">С учетом ресеплинга средняя длина цепочек для каждой из отрасли для каждого агенства: </w:t>
      </w:r>
    </w:p>
    <w:p w:rsidR="00CC7D6C" w:rsidRDefault="00CC7D6C" w:rsidP="005B2471">
      <w:pPr>
        <w:rPr>
          <w:rFonts w:ascii="Times New Roman" w:hAnsi="Times New Roman" w:cs="Times New Roman"/>
        </w:rPr>
      </w:pP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_ro_type: BNFC - нефинансовая компания | Средняя длина по уникальным identifier: 74.92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_ro_type: CBNK - кредитная организация | Средняя длина по уникальным identifier: 105.78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_ro_type: FOFO - прочие финансовые организации, в том числе специализированные общества | Средняя длина по уникальным identifier: 81.83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lastRenderedPageBreak/>
        <w:t>Агентство: КРА_1 | _ro_type: CO - прочий вид организации | Средняя длина по уникальным identifier: 90.81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_ro_type: FNPF - негосударственный пенсионный фонд | Средняя длина по уникальным identifier: 88.56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_ro_type: FINS - страховая организация | Средняя длина по уникальным identifier: 103.26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_ro_type: BNFH - холдинговая компания (нефинансовая) | Средняя длина по уникальным identifier: 81.90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_ro_type: FMFO - микрофинансовая организация | Средняя длина по уникальным identifier: 69.71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_ro_type: FLSG - лизинговая компания (фирма) | Средняя длина по уникальным identifier: 69.81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_ro_type: FDEP - депозитарий | Средняя длина по уникальным identifier: 89.40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_ro_type: FFCT - юридическое лицо, специализирующееся на предоставлении финансирования под уступку денежного требования (факторинговая компания) | Средняя длина по уникальным identifier: 37.57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_ro_type: BNFC - нефинансовая компания | Средняя длина по уникальным identifier: 72.40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_ro_type: FLSG - лизинговая компания (фирма) | Средняя длина по уникальным identifier: 79.38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_ro_type: CBNK - кредитная организация | Средняя длина по уникальным identifier: 116.36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_ro_type: FINS - страховая организация | Средняя длина по уникальным identifier: 123.60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_ro_type: FOFO - прочие финансовые организации, в том числе специализированные общества | Средняя длина по уникальным identifier: 81.31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_ro_type: BNFH - холдинговая компания (нефинансовая) | Средняя длина по уникальным identifier: 99.10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_ro_type: CO - прочий вид организации | Средняя длина по уникальным identifier: 269.33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_ro_type: FMFO - микрофинансовая организация | Средняя длина по уникальным identifier: 60.50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_ro_type: IFO - международная финансовая организация | Средняя длина по уникальным identifier: 57.00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_ro_type: FDEP - депозитарий | Средняя длина по уникальным identifier: 84.00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_ro_type: BNFC - нефинансовая компания | Средняя длина по уникальным identifier: 63.97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_ro_type: CBNK - кредитная организация | Средняя длина по уникальным identifier: 152.56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_ro_type: FINS - страховая организация | Средняя длина по уникальным identifier: 123.75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_ro_type: FLSG - лизинговая компания (фирма) | Средняя длина по уникальным identifier: 147.00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_ro_type: CO - прочий вид организации | Средняя длина по уникальным identifier: 246.00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_ro_type: BNFH - холдинговая компания (нефинансовая) | Средняя длина по уникальным identifier: 5.00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КРА_4 | _ro_type: BNFC - нефинансовая компания | Средняя длина по уникальным identifier: 68.98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КРА_4 | _ro_type: CBNK - кредитная организация | Средняя длина по уникальным identifier: 110.16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КРА_4 | _ro_type: FINS - страховая организация | Средняя длина по уникальным identifier: 123.13</w:t>
      </w:r>
    </w:p>
    <w:p w:rsid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КРА_4 | _ro_type: FLSG - лизинговая компания (фирма) | Средняя длина по уникальным identifier: 73.00</w:t>
      </w:r>
    </w:p>
    <w:p w:rsid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</w:p>
    <w:p w:rsid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Связано расхождение с тем, что для разных отраслей и разных компаний дата «захода» на рынок – различная + был произведен мерж с более ранними данными в том числе (как правило это максимально стабильные компании) </w:t>
      </w:r>
    </w:p>
    <w:p w:rsidR="00AC3725" w:rsidRDefault="00AC3725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</w:p>
    <w:p w:rsidR="00AC3725" w:rsidRDefault="00AC3725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</w:p>
    <w:p w:rsidR="00AC3725" w:rsidRDefault="00AC3725" w:rsidP="00CC7D6C">
      <w:pPr>
        <w:rPr>
          <w:rFonts w:ascii="Times New Roman" w:hAnsi="Times New Roman" w:cs="Times New Roman"/>
        </w:rPr>
      </w:pPr>
    </w:p>
    <w:p w:rsidR="00F34BD1" w:rsidRDefault="00F34BD1" w:rsidP="00CC7D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Блок 3</w:t>
      </w:r>
      <w:r w:rsidR="0016213F">
        <w:rPr>
          <w:rFonts w:ascii="Times New Roman" w:hAnsi="Times New Roman" w:cs="Times New Roman"/>
          <w:b/>
          <w:bCs/>
          <w:sz w:val="32"/>
          <w:szCs w:val="32"/>
        </w:rPr>
        <w:t>/4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D8244E" w:rsidRDefault="00F060C7" w:rsidP="00D824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Результаты для каждого метода приведены в </w:t>
      </w:r>
      <w:r w:rsidR="003C19FD">
        <w:rPr>
          <w:rFonts w:ascii="Times New Roman" w:hAnsi="Times New Roman" w:cs="Times New Roman"/>
        </w:rPr>
        <w:t>эксель файле + результаты прогнозирования по случайному лесу (самый лучший вариант):</w:t>
      </w:r>
    </w:p>
    <w:p w:rsidR="003C19FD" w:rsidRDefault="003C19FD" w:rsidP="00D8244E">
      <w:pPr>
        <w:rPr>
          <w:rFonts w:ascii="Times New Roman" w:hAnsi="Times New Roman" w:cs="Times New Roman"/>
        </w:rPr>
      </w:pP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Window size: 12 months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Accuracy: 0.8350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Precision: 0.7941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Recall: 0.7742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F1 Score: 0.7825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MAE: 0.3223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==============================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Window size: 24 months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Accuracy: 0.7981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Precision: 0.7619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Recall: 0.7428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F1 Score: 0.7502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MAE: 0.3838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==============================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Window size: 36 months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Accuracy: 0.7904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Precision: 0.7886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Recall: 0.7707</w:t>
      </w:r>
    </w:p>
    <w:p w:rsidR="003C19FD" w:rsidRPr="003C19FD" w:rsidRDefault="003C19FD" w:rsidP="003C19FD">
      <w:pPr>
        <w:rPr>
          <w:rFonts w:ascii="Times New Roman" w:hAnsi="Times New Roman" w:cs="Times New Roman"/>
          <w:lang w:val="en-US"/>
        </w:rPr>
      </w:pPr>
      <w:r w:rsidRPr="003C19FD">
        <w:rPr>
          <w:rFonts w:ascii="Times New Roman" w:hAnsi="Times New Roman" w:cs="Times New Roman"/>
          <w:lang w:val="en-US"/>
        </w:rPr>
        <w:t>F1 Score: 0.7785</w:t>
      </w:r>
    </w:p>
    <w:p w:rsidR="003C19FD" w:rsidRPr="0050149E" w:rsidRDefault="003C19FD" w:rsidP="003C19FD">
      <w:pPr>
        <w:rPr>
          <w:rFonts w:ascii="Times New Roman" w:hAnsi="Times New Roman" w:cs="Times New Roman"/>
          <w:lang w:val="en-US"/>
        </w:rPr>
      </w:pPr>
      <w:r w:rsidRPr="0050149E">
        <w:rPr>
          <w:rFonts w:ascii="Times New Roman" w:hAnsi="Times New Roman" w:cs="Times New Roman"/>
          <w:lang w:val="en-US"/>
        </w:rPr>
        <w:t>MAE: 0.4228</w:t>
      </w:r>
    </w:p>
    <w:p w:rsidR="003C19FD" w:rsidRPr="0050149E" w:rsidRDefault="003C19FD" w:rsidP="003C19FD">
      <w:pPr>
        <w:rPr>
          <w:rFonts w:ascii="Times New Roman" w:hAnsi="Times New Roman" w:cs="Times New Roman"/>
          <w:lang w:val="en-US"/>
        </w:rPr>
      </w:pPr>
      <w:r w:rsidRPr="0050149E">
        <w:rPr>
          <w:rFonts w:ascii="Times New Roman" w:hAnsi="Times New Roman" w:cs="Times New Roman"/>
          <w:lang w:val="en-US"/>
        </w:rPr>
        <w:t>==============================</w:t>
      </w:r>
    </w:p>
    <w:p w:rsidR="003C19FD" w:rsidRPr="0050149E" w:rsidRDefault="003C19FD" w:rsidP="003C19FD">
      <w:pPr>
        <w:rPr>
          <w:rFonts w:ascii="Times New Roman" w:hAnsi="Times New Roman" w:cs="Times New Roman"/>
          <w:lang w:val="en-US"/>
        </w:rPr>
      </w:pPr>
      <w:r w:rsidRPr="0050149E">
        <w:rPr>
          <w:rFonts w:ascii="Times New Roman" w:hAnsi="Times New Roman" w:cs="Times New Roman"/>
          <w:lang w:val="en-US"/>
        </w:rPr>
        <w:t>Window size: 48 months</w:t>
      </w:r>
    </w:p>
    <w:p w:rsidR="003C19FD" w:rsidRPr="0050149E" w:rsidRDefault="003C19FD" w:rsidP="003C19FD">
      <w:pPr>
        <w:rPr>
          <w:rFonts w:ascii="Times New Roman" w:hAnsi="Times New Roman" w:cs="Times New Roman"/>
          <w:lang w:val="en-US"/>
        </w:rPr>
      </w:pPr>
      <w:r w:rsidRPr="0050149E">
        <w:rPr>
          <w:rFonts w:ascii="Times New Roman" w:hAnsi="Times New Roman" w:cs="Times New Roman"/>
          <w:lang w:val="en-US"/>
        </w:rPr>
        <w:t>Accuracy: 0.7693</w:t>
      </w:r>
    </w:p>
    <w:p w:rsidR="003C19FD" w:rsidRPr="0050149E" w:rsidRDefault="003C19FD" w:rsidP="003C19FD">
      <w:pPr>
        <w:rPr>
          <w:rFonts w:ascii="Times New Roman" w:hAnsi="Times New Roman" w:cs="Times New Roman"/>
          <w:lang w:val="en-US"/>
        </w:rPr>
      </w:pPr>
      <w:r w:rsidRPr="0050149E">
        <w:rPr>
          <w:rFonts w:ascii="Times New Roman" w:hAnsi="Times New Roman" w:cs="Times New Roman"/>
          <w:lang w:val="en-US"/>
        </w:rPr>
        <w:t>Precision: 0.7734</w:t>
      </w:r>
    </w:p>
    <w:p w:rsidR="003C19FD" w:rsidRPr="0050149E" w:rsidRDefault="003C19FD" w:rsidP="003C19FD">
      <w:pPr>
        <w:rPr>
          <w:rFonts w:ascii="Times New Roman" w:hAnsi="Times New Roman" w:cs="Times New Roman"/>
          <w:lang w:val="en-US"/>
        </w:rPr>
      </w:pPr>
      <w:r w:rsidRPr="0050149E">
        <w:rPr>
          <w:rFonts w:ascii="Times New Roman" w:hAnsi="Times New Roman" w:cs="Times New Roman"/>
          <w:lang w:val="en-US"/>
        </w:rPr>
        <w:t>Recall: 0.7334</w:t>
      </w:r>
    </w:p>
    <w:p w:rsidR="003C19FD" w:rsidRPr="0050149E" w:rsidRDefault="003C19FD" w:rsidP="003C19FD">
      <w:pPr>
        <w:rPr>
          <w:rFonts w:ascii="Times New Roman" w:hAnsi="Times New Roman" w:cs="Times New Roman"/>
          <w:lang w:val="en-US"/>
        </w:rPr>
      </w:pPr>
      <w:r w:rsidRPr="0050149E">
        <w:rPr>
          <w:rFonts w:ascii="Times New Roman" w:hAnsi="Times New Roman" w:cs="Times New Roman"/>
          <w:lang w:val="en-US"/>
        </w:rPr>
        <w:t>F1 Score: 0.7485</w:t>
      </w:r>
    </w:p>
    <w:p w:rsidR="003C19FD" w:rsidRPr="0050149E" w:rsidRDefault="003C19FD" w:rsidP="003C19FD">
      <w:pPr>
        <w:rPr>
          <w:rFonts w:ascii="Times New Roman" w:hAnsi="Times New Roman" w:cs="Times New Roman"/>
          <w:lang w:val="en-US"/>
        </w:rPr>
      </w:pPr>
      <w:r w:rsidRPr="0050149E">
        <w:rPr>
          <w:rFonts w:ascii="Times New Roman" w:hAnsi="Times New Roman" w:cs="Times New Roman"/>
          <w:lang w:val="en-US"/>
        </w:rPr>
        <w:t>MAE: 0.4713</w:t>
      </w:r>
    </w:p>
    <w:p w:rsidR="003C19FD" w:rsidRPr="00F060C7" w:rsidRDefault="003C19FD" w:rsidP="003C19FD">
      <w:pPr>
        <w:rPr>
          <w:rFonts w:ascii="Times New Roman" w:hAnsi="Times New Roman" w:cs="Times New Roman"/>
        </w:rPr>
      </w:pPr>
      <w:r w:rsidRPr="003C19FD">
        <w:rPr>
          <w:rFonts w:ascii="Times New Roman" w:hAnsi="Times New Roman" w:cs="Times New Roman"/>
        </w:rPr>
        <w:t>==============================</w:t>
      </w:r>
    </w:p>
    <w:p w:rsidR="00D8244E" w:rsidRPr="00F060C7" w:rsidRDefault="00D8244E" w:rsidP="00D8244E">
      <w:pPr>
        <w:rPr>
          <w:rFonts w:ascii="Times New Roman" w:hAnsi="Times New Roman" w:cs="Times New Roman"/>
        </w:rPr>
      </w:pPr>
    </w:p>
    <w:p w:rsidR="00D8244E" w:rsidRDefault="0050149E" w:rsidP="0050149E">
      <w:pPr>
        <w:jc w:val="center"/>
        <w:rPr>
          <w:rFonts w:ascii="Times New Roman" w:hAnsi="Times New Roman" w:cs="Times New Roman"/>
        </w:rPr>
      </w:pPr>
      <w:r w:rsidRPr="0050149E">
        <w:rPr>
          <w:rFonts w:ascii="Times New Roman" w:hAnsi="Times New Roman" w:cs="Times New Roman"/>
        </w:rPr>
        <w:drawing>
          <wp:inline distT="0" distB="0" distL="0" distR="0" wp14:anchorId="3C9735A2" wp14:editId="771B3D70">
            <wp:extent cx="4674550" cy="2694300"/>
            <wp:effectExtent l="0" t="0" r="0" b="0"/>
            <wp:docPr id="47319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9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4735" cy="27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8C" w:rsidRDefault="00B3078C" w:rsidP="00B3078C">
      <w:pPr>
        <w:rPr>
          <w:rFonts w:ascii="Times New Roman" w:hAnsi="Times New Roman" w:cs="Times New Roman"/>
        </w:rPr>
      </w:pPr>
    </w:p>
    <w:p w:rsidR="00B3078C" w:rsidRPr="00F060C7" w:rsidRDefault="00B3078C" w:rsidP="00B307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модели можно вывод сделать на основе эксель файла (приведу полный результат к очной встрече)</w:t>
      </w:r>
    </w:p>
    <w:sectPr w:rsidR="00B3078C" w:rsidRPr="00F060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C1"/>
    <w:rsid w:val="000501C1"/>
    <w:rsid w:val="00081186"/>
    <w:rsid w:val="00107DA5"/>
    <w:rsid w:val="0016213F"/>
    <w:rsid w:val="00296A64"/>
    <w:rsid w:val="003C19FD"/>
    <w:rsid w:val="0050149E"/>
    <w:rsid w:val="005B2471"/>
    <w:rsid w:val="00654DDB"/>
    <w:rsid w:val="00767715"/>
    <w:rsid w:val="007B2333"/>
    <w:rsid w:val="007E6B62"/>
    <w:rsid w:val="007F441E"/>
    <w:rsid w:val="00890F0E"/>
    <w:rsid w:val="008A0EB1"/>
    <w:rsid w:val="00997B0B"/>
    <w:rsid w:val="009C3CD8"/>
    <w:rsid w:val="009D784C"/>
    <w:rsid w:val="00AC3725"/>
    <w:rsid w:val="00B1420B"/>
    <w:rsid w:val="00B3078C"/>
    <w:rsid w:val="00BB35CA"/>
    <w:rsid w:val="00BF40E7"/>
    <w:rsid w:val="00C74372"/>
    <w:rsid w:val="00CC7D6C"/>
    <w:rsid w:val="00D8244E"/>
    <w:rsid w:val="00D85A4B"/>
    <w:rsid w:val="00ED464B"/>
    <w:rsid w:val="00F060C7"/>
    <w:rsid w:val="00F34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37AD61"/>
  <w15:chartTrackingRefBased/>
  <w15:docId w15:val="{2ED1647C-37FD-2F48-8286-D8A9FB4D8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50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1C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9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1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1048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Липатов</dc:creator>
  <cp:keywords/>
  <dc:description/>
  <cp:lastModifiedBy>Данила Липатов</cp:lastModifiedBy>
  <cp:revision>21</cp:revision>
  <dcterms:created xsi:type="dcterms:W3CDTF">2025-05-03T12:37:00Z</dcterms:created>
  <dcterms:modified xsi:type="dcterms:W3CDTF">2025-05-07T19:41:00Z</dcterms:modified>
</cp:coreProperties>
</file>