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300"/>
      </w:pPr>
      <w:r>
        <w:rPr>
          <w:rFonts w:ascii="Bahnschrift Bold" w:hAnsi="Bahnschrift Bold" w:eastAsia="Bahnschrift Bold" w:cs="Bahnschrift Bold"/>
          <w:color w:val="054C8E"/>
          <w:sz w:val="36"/>
          <w:szCs w:val="36"/>
        </w:rPr>
        <w:t xml:space="preserve">Список услуг</w:t>
      </w:r>
    </w:p>
    <w:p>
      <w:pPr>
        <w:spacing w:after="200"/>
      </w:pPr>
      <w:r>
        <w:rPr>
          <w:rFonts w:ascii="Bahnschrift SemiBold" w:hAnsi="Bahnschrift SemiBold" w:eastAsia="Bahnschrift SemiBold" w:cs="Bahnschrift SemiBold"/>
          <w:color w:val="054C8E"/>
          <w:sz w:val="28"/>
          <w:szCs w:val="28"/>
          <w:u w:val="dashed"/>
        </w:rPr>
        <w:t xml:space="preserve">Эндокринология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Здоровье щитовидной железы (Chek-up) (ТТГ, Т4, УЗИ цитовидной железы, консультация эндокринолога)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4 000 ₽</w:t>
      </w:r>
    </w:p>
    <w:p>
      <w:pPr/>
      <w:r>
        <w:rPr/>
        <w:t xml:space="preserve"/>
      </w:r>
    </w:p>
    <w:p>
      <w:pPr>
        <w:spacing w:after="200"/>
      </w:pPr>
      <w:r>
        <w:rPr>
          <w:rFonts w:ascii="Bahnschrift SemiBold" w:hAnsi="Bahnschrift SemiBold" w:eastAsia="Bahnschrift SemiBold" w:cs="Bahnschrift SemiBold"/>
          <w:color w:val="054C8E"/>
          <w:sz w:val="28"/>
          <w:szCs w:val="28"/>
          <w:u w:val="dashed"/>
        </w:rPr>
        <w:t xml:space="preserve">Хирургия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3 категория разрыв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10 000 ₽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Блокада геммороидальных узлов по Амниева (1 узел)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2 000 ₽</w:t>
      </w:r>
    </w:p>
    <w:p>
      <w:pPr/>
      <w:r>
        <w:rPr/>
        <w:t xml:space="preserve"/>
      </w:r>
    </w:p>
    <w:p>
      <w:pPr>
        <w:spacing w:after="200"/>
      </w:pPr>
      <w:r>
        <w:rPr>
          <w:rFonts w:ascii="Bahnschrift SemiBold" w:hAnsi="Bahnschrift SemiBold" w:eastAsia="Bahnschrift SemiBold" w:cs="Bahnschrift SemiBold"/>
          <w:color w:val="054C8E"/>
          <w:sz w:val="28"/>
          <w:szCs w:val="28"/>
          <w:u w:val="dashed"/>
        </w:rPr>
        <w:t xml:space="preserve">Процедурный кабинет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в/в кап + 2  в/в + в/м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1 100 ₽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в/в капельно + в/в капельно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1 400 ₽</w:t>
      </w:r>
    </w:p>
    <w:p>
      <w:pPr/>
      <w:r>
        <w:rPr/>
        <w:t xml:space="preserve"/>
      </w:r>
    </w:p>
    <w:p>
      <w:pPr>
        <w:spacing w:after="200"/>
      </w:pPr>
      <w:r>
        <w:rPr>
          <w:rFonts w:ascii="Bahnschrift SemiBold" w:hAnsi="Bahnschrift SemiBold" w:eastAsia="Bahnschrift SemiBold" w:cs="Bahnschrift SemiBold"/>
          <w:color w:val="054C8E"/>
          <w:sz w:val="28"/>
          <w:szCs w:val="28"/>
          <w:u w:val="dashed"/>
        </w:rPr>
        <w:t xml:space="preserve">Травматология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3 кат единичные винты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5 000 ₽</w:t>
      </w:r>
    </w:p>
    <w:p>
      <w:pPr>
        <w:spacing w:after="100"/>
      </w:pPr>
      <w:r>
        <w:rPr>
          <w:rFonts w:ascii="Bahnschrift SemiLight" w:hAnsi="Bahnschrift SemiLight" w:eastAsia="Bahnschrift SemiLight" w:cs="Bahnschrift SemiLight"/>
          <w:sz w:val="24"/>
          <w:szCs w:val="24"/>
        </w:rPr>
        <w:t xml:space="preserve">1 кат удаление массивных пластин — </w:t>
      </w:r>
      <w:r>
        <w:rPr>
          <w:rFonts w:ascii="Bahnschrift SemiBold" w:hAnsi="Bahnschrift SemiBold" w:eastAsia="Bahnschrift SemiBold" w:cs="Bahnschrift SemiBold"/>
          <w:sz w:val="24"/>
          <w:szCs w:val="24"/>
        </w:rPr>
        <w:t xml:space="preserve">15 000 ₽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2024-12-13T19:37:58+00:00</dcterms:created>
  <dcterms:modified xsi:type="dcterms:W3CDTF">2024-12-13T19:37:58+00:00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