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B1F6C" w14:textId="77777777" w:rsidR="00F22AE1" w:rsidRPr="00F8324C" w:rsidRDefault="00F22AE1" w:rsidP="00F22AE1">
      <w:pPr>
        <w:pStyle w:val="Heading2"/>
        <w:spacing w:line="480" w:lineRule="auto"/>
        <w:rPr>
          <w:rStyle w:val="Heading2Char"/>
          <w:rFonts w:ascii="Times New Roman" w:hAnsi="Times New Roman"/>
          <w:b/>
          <w:color w:val="auto"/>
        </w:rPr>
      </w:pPr>
      <w:r w:rsidRPr="00F8324C">
        <w:rPr>
          <w:rStyle w:val="Heading2Char"/>
          <w:rFonts w:ascii="Times New Roman" w:hAnsi="Times New Roman"/>
          <w:b/>
          <w:color w:val="auto"/>
        </w:rPr>
        <w:t>Data Analyses</w:t>
      </w:r>
    </w:p>
    <w:p w14:paraId="25C15897" w14:textId="77777777" w:rsidR="00F22AE1" w:rsidRDefault="00F22AE1" w:rsidP="00F22AE1">
      <w:pPr>
        <w:pStyle w:val="Heading3"/>
        <w:spacing w:line="480" w:lineRule="auto"/>
        <w:rPr>
          <w:rFonts w:ascii="Times New Roman" w:hAnsi="Times New Roman"/>
          <w:b/>
          <w:color w:val="auto"/>
        </w:rPr>
      </w:pPr>
      <w:bookmarkStart w:id="0" w:name="_Toc20687091"/>
      <w:r w:rsidRPr="00F8324C">
        <w:rPr>
          <w:rFonts w:ascii="Times New Roman" w:hAnsi="Times New Roman"/>
          <w:b/>
          <w:color w:val="auto"/>
        </w:rPr>
        <w:t>3.3.1 Catch Data</w:t>
      </w:r>
      <w:bookmarkEnd w:id="0"/>
    </w:p>
    <w:p w14:paraId="057050FB" w14:textId="77777777" w:rsidR="00F22AE1" w:rsidRPr="00913B2E" w:rsidRDefault="00F22AE1" w:rsidP="00F22AE1">
      <w:pPr>
        <w:widowControl w:val="0"/>
        <w:overflowPunct w:val="0"/>
        <w:autoSpaceDE w:val="0"/>
        <w:autoSpaceDN w:val="0"/>
        <w:adjustRightInd w:val="0"/>
        <w:spacing w:after="0" w:line="480" w:lineRule="auto"/>
        <w:jc w:val="both"/>
        <w:rPr>
          <w:rFonts w:ascii="Times New Roman" w:hAnsi="Times New Roman"/>
          <w:sz w:val="24"/>
          <w:szCs w:val="24"/>
        </w:rPr>
      </w:pPr>
      <w:r w:rsidRPr="00DD6E7B">
        <w:rPr>
          <w:rFonts w:ascii="Times New Roman" w:hAnsi="Times New Roman"/>
          <w:sz w:val="24"/>
          <w:szCs w:val="24"/>
        </w:rPr>
        <w:t xml:space="preserve">Data were transferred from the data sheets to Microsoft Excel where </w:t>
      </w:r>
      <w:r>
        <w:rPr>
          <w:rFonts w:ascii="Times New Roman" w:hAnsi="Times New Roman"/>
          <w:sz w:val="24"/>
          <w:szCs w:val="24"/>
        </w:rPr>
        <w:t xml:space="preserve">data was cleaned done prior to analysis. </w:t>
      </w:r>
      <w:r w:rsidRPr="00F8324C">
        <w:rPr>
          <w:rFonts w:ascii="Times New Roman" w:hAnsi="Times New Roman"/>
          <w:sz w:val="24"/>
          <w:szCs w:val="24"/>
        </w:rPr>
        <w:t>The number of individuals per species was used to calculate the relative abundance</w:t>
      </w:r>
      <w:r>
        <w:rPr>
          <w:rFonts w:ascii="Times New Roman" w:hAnsi="Times New Roman"/>
          <w:sz w:val="24"/>
          <w:szCs w:val="24"/>
        </w:rPr>
        <w:t xml:space="preserve"> (%) according to </w:t>
      </w:r>
      <w:proofErr w:type="spellStart"/>
      <w:r w:rsidRPr="00913B2E">
        <w:rPr>
          <w:rFonts w:ascii="Times New Roman" w:hAnsi="Times New Roman"/>
          <w:sz w:val="24"/>
          <w:szCs w:val="24"/>
        </w:rPr>
        <w:t>Mwangudza</w:t>
      </w:r>
      <w:proofErr w:type="spellEnd"/>
      <w:r>
        <w:rPr>
          <w:rFonts w:ascii="Times New Roman" w:hAnsi="Times New Roman"/>
          <w:sz w:val="24"/>
          <w:szCs w:val="24"/>
        </w:rPr>
        <w:t xml:space="preserve"> et al.</w:t>
      </w:r>
      <w:r w:rsidRPr="00913B2E">
        <w:rPr>
          <w:rFonts w:ascii="Times New Roman" w:hAnsi="Times New Roman"/>
          <w:sz w:val="24"/>
          <w:szCs w:val="24"/>
        </w:rPr>
        <w:t>,</w:t>
      </w:r>
      <w:r>
        <w:rPr>
          <w:rFonts w:ascii="Times New Roman" w:hAnsi="Times New Roman"/>
          <w:sz w:val="24"/>
          <w:szCs w:val="24"/>
        </w:rPr>
        <w:t xml:space="preserve"> (</w:t>
      </w:r>
      <w:r w:rsidRPr="00913B2E">
        <w:rPr>
          <w:rFonts w:ascii="Times New Roman" w:hAnsi="Times New Roman"/>
          <w:sz w:val="24"/>
          <w:szCs w:val="24"/>
        </w:rPr>
        <w:t>201</w:t>
      </w:r>
      <w:r>
        <w:rPr>
          <w:rFonts w:ascii="Times New Roman" w:hAnsi="Times New Roman"/>
          <w:sz w:val="24"/>
          <w:szCs w:val="24"/>
        </w:rPr>
        <w:t>7</w:t>
      </w:r>
      <w:r w:rsidRPr="00913B2E">
        <w:rPr>
          <w:rFonts w:ascii="Times New Roman" w:hAnsi="Times New Roman"/>
          <w:sz w:val="24"/>
          <w:szCs w:val="24"/>
        </w:rPr>
        <w:t>):</w:t>
      </w:r>
    </w:p>
    <w:p w14:paraId="40DF6288" w14:textId="77777777" w:rsidR="00F22AE1" w:rsidRPr="00913B2E" w:rsidRDefault="00F22AE1" w:rsidP="00F22AE1">
      <w:pPr>
        <w:spacing w:line="480" w:lineRule="auto"/>
        <w:rPr>
          <w:rFonts w:ascii="Times New Roman" w:hAnsi="Times New Roman"/>
        </w:rPr>
      </w:pPr>
      <m:oMathPara>
        <m:oMath>
          <m:r>
            <m:rPr>
              <m:sty m:val="p"/>
            </m:rPr>
            <w:rPr>
              <w:rFonts w:ascii="Cambria Math" w:hAnsi="Cambria Math"/>
            </w:rPr>
            <m:t xml:space="preserve">Relative abundance </m:t>
          </m:r>
          <m:d>
            <m:dPr>
              <m:ctrlPr>
                <w:rPr>
                  <w:rFonts w:ascii="Cambria Math" w:hAnsi="Cambria Math"/>
                </w:rPr>
              </m:ctrlPr>
            </m:dPr>
            <m:e>
              <m:r>
                <m:rPr>
                  <m:sty m:val="p"/>
                </m:rPr>
                <w:rPr>
                  <w:rFonts w:ascii="Cambria Math" w:hAnsi="Cambria Math"/>
                </w:rPr>
                <m:t>%</m:t>
              </m:r>
            </m:e>
          </m:d>
          <m:r>
            <m:rPr>
              <m:sty m:val="p"/>
            </m:rPr>
            <w:rPr>
              <w:rFonts w:ascii="Cambria Math" w:hAnsi="Cambria Math"/>
            </w:rPr>
            <m:t>=</m:t>
          </m:r>
          <m:f>
            <m:fPr>
              <m:ctrlPr>
                <w:rPr>
                  <w:rFonts w:ascii="Cambria Math" w:hAnsi="Cambria Math"/>
                  <w:i/>
                </w:rPr>
              </m:ctrlPr>
            </m:fPr>
            <m:num>
              <m:r>
                <m:rPr>
                  <m:sty m:val="p"/>
                </m:rPr>
                <w:rPr>
                  <w:rFonts w:ascii="Cambria Math" w:hAnsi="Cambria Math"/>
                  <w:w w:val="98"/>
                  <w:sz w:val="24"/>
                  <w:szCs w:val="24"/>
                </w:rPr>
                <m:t>Number of individuals of species 'A' in site ' S'</m:t>
              </m:r>
            </m:num>
            <m:den>
              <m:r>
                <m:rPr>
                  <m:sty m:val="p"/>
                </m:rPr>
                <w:rPr>
                  <w:rFonts w:ascii="Cambria Math" w:hAnsi="Cambria Math"/>
                  <w:w w:val="98"/>
                  <w:sz w:val="24"/>
                  <w:szCs w:val="24"/>
                </w:rPr>
                <m:t>Total number of individuals of all species in site 'S'</m:t>
              </m:r>
            </m:den>
          </m:f>
          <m:r>
            <w:rPr>
              <w:rFonts w:ascii="Cambria Math" w:hAnsi="Cambria Math"/>
            </w:rPr>
            <m:t>x100</m:t>
          </m:r>
        </m:oMath>
      </m:oMathPara>
    </w:p>
    <w:p w14:paraId="54D3E1D5" w14:textId="77777777" w:rsidR="00F22AE1" w:rsidRPr="00913B2E" w:rsidRDefault="00F22AE1" w:rsidP="00F22AE1">
      <w:pPr>
        <w:widowControl w:val="0"/>
        <w:autoSpaceDE w:val="0"/>
        <w:autoSpaceDN w:val="0"/>
        <w:adjustRightInd w:val="0"/>
        <w:spacing w:after="0" w:line="480" w:lineRule="auto"/>
        <w:rPr>
          <w:rFonts w:ascii="Times New Roman" w:hAnsi="Times New Roman"/>
          <w:sz w:val="24"/>
          <w:szCs w:val="24"/>
        </w:rPr>
      </w:pPr>
    </w:p>
    <w:p w14:paraId="5F8B8DD5" w14:textId="77777777" w:rsidR="00F22AE1" w:rsidRPr="00913B2E" w:rsidRDefault="00F22AE1" w:rsidP="00F22AE1">
      <w:pPr>
        <w:widowControl w:val="0"/>
        <w:overflowPunct w:val="0"/>
        <w:autoSpaceDE w:val="0"/>
        <w:autoSpaceDN w:val="0"/>
        <w:adjustRightInd w:val="0"/>
        <w:spacing w:after="0" w:line="480" w:lineRule="auto"/>
        <w:jc w:val="both"/>
        <w:rPr>
          <w:rFonts w:ascii="Times New Roman" w:hAnsi="Times New Roman"/>
          <w:sz w:val="24"/>
          <w:szCs w:val="24"/>
        </w:rPr>
      </w:pPr>
      <w:r w:rsidRPr="00913B2E">
        <w:rPr>
          <w:rFonts w:ascii="Times New Roman" w:hAnsi="Times New Roman"/>
          <w:sz w:val="24"/>
          <w:szCs w:val="24"/>
        </w:rPr>
        <w:t>Catch composition data was first standardized prior to analysis</w:t>
      </w:r>
      <w:r>
        <w:rPr>
          <w:rFonts w:ascii="Times New Roman" w:hAnsi="Times New Roman"/>
          <w:sz w:val="24"/>
          <w:szCs w:val="24"/>
        </w:rPr>
        <w:t>.  The analysis was conducted</w:t>
      </w:r>
      <w:r w:rsidRPr="00913B2E">
        <w:rPr>
          <w:rFonts w:ascii="Times New Roman" w:hAnsi="Times New Roman"/>
          <w:sz w:val="24"/>
          <w:szCs w:val="24"/>
        </w:rPr>
        <w:t xml:space="preserve"> using the multivariate non-Metric Multidimensional Scaling (</w:t>
      </w:r>
      <w:proofErr w:type="spellStart"/>
      <w:r w:rsidRPr="00913B2E">
        <w:rPr>
          <w:rFonts w:ascii="Times New Roman" w:hAnsi="Times New Roman"/>
          <w:sz w:val="24"/>
          <w:szCs w:val="24"/>
        </w:rPr>
        <w:t>nMDS</w:t>
      </w:r>
      <w:proofErr w:type="spellEnd"/>
      <w:r w:rsidRPr="00913B2E">
        <w:rPr>
          <w:rFonts w:ascii="Times New Roman" w:hAnsi="Times New Roman"/>
          <w:sz w:val="24"/>
          <w:szCs w:val="24"/>
        </w:rPr>
        <w:t>) technique by season, gear, craft and fishing location (Clark</w:t>
      </w:r>
      <w:r>
        <w:rPr>
          <w:rFonts w:ascii="Times New Roman" w:hAnsi="Times New Roman"/>
          <w:sz w:val="24"/>
          <w:szCs w:val="24"/>
        </w:rPr>
        <w:t xml:space="preserve">e </w:t>
      </w:r>
      <w:r w:rsidRPr="000A0A61">
        <w:rPr>
          <w:rFonts w:ascii="Times New Roman" w:hAnsi="Times New Roman"/>
          <w:i/>
          <w:sz w:val="24"/>
          <w:szCs w:val="24"/>
        </w:rPr>
        <w:t>et al</w:t>
      </w:r>
      <w:r>
        <w:rPr>
          <w:rFonts w:ascii="Times New Roman" w:hAnsi="Times New Roman"/>
          <w:sz w:val="24"/>
          <w:szCs w:val="24"/>
        </w:rPr>
        <w:t xml:space="preserve">., </w:t>
      </w:r>
      <w:r w:rsidRPr="00913B2E">
        <w:rPr>
          <w:rFonts w:ascii="Times New Roman" w:hAnsi="Times New Roman"/>
          <w:sz w:val="24"/>
          <w:szCs w:val="24"/>
        </w:rPr>
        <w:t xml:space="preserve">2014). Differences in catch composition between seasons, craft, gear and fishing location were analysed using </w:t>
      </w:r>
      <w:r>
        <w:rPr>
          <w:rFonts w:ascii="Times New Roman" w:hAnsi="Times New Roman"/>
          <w:sz w:val="24"/>
          <w:szCs w:val="24"/>
        </w:rPr>
        <w:t>one</w:t>
      </w:r>
      <w:r w:rsidRPr="00913B2E">
        <w:rPr>
          <w:rFonts w:ascii="Times New Roman" w:hAnsi="Times New Roman"/>
          <w:sz w:val="24"/>
          <w:szCs w:val="24"/>
        </w:rPr>
        <w:t xml:space="preserve">-way Analysis of Similarity (ANOSIM). Differences in catch composition were confirmed using SIMPER analysis to ascertain which species contributed to the dissimilarity. Both ANOSIM and SIMPER analyses </w:t>
      </w:r>
      <w:r>
        <w:rPr>
          <w:rFonts w:ascii="Times New Roman" w:hAnsi="Times New Roman"/>
          <w:sz w:val="24"/>
          <w:szCs w:val="24"/>
        </w:rPr>
        <w:t>are</w:t>
      </w:r>
      <w:r w:rsidRPr="00913B2E">
        <w:rPr>
          <w:rFonts w:ascii="Times New Roman" w:hAnsi="Times New Roman"/>
          <w:sz w:val="24"/>
          <w:szCs w:val="24"/>
        </w:rPr>
        <w:t xml:space="preserve"> based on Bray-</w:t>
      </w:r>
      <w:proofErr w:type="gramStart"/>
      <w:r w:rsidRPr="00913B2E">
        <w:rPr>
          <w:rFonts w:ascii="Times New Roman" w:hAnsi="Times New Roman"/>
          <w:sz w:val="24"/>
          <w:szCs w:val="24"/>
        </w:rPr>
        <w:t>Curtis</w:t>
      </w:r>
      <w:proofErr w:type="gramEnd"/>
      <w:r w:rsidRPr="00913B2E">
        <w:rPr>
          <w:rFonts w:ascii="Times New Roman" w:hAnsi="Times New Roman"/>
          <w:sz w:val="24"/>
          <w:szCs w:val="24"/>
        </w:rPr>
        <w:t xml:space="preserve"> similarity using PRIMER statistical software ver</w:t>
      </w:r>
      <w:r>
        <w:rPr>
          <w:rFonts w:ascii="Times New Roman" w:hAnsi="Times New Roman"/>
          <w:sz w:val="24"/>
          <w:szCs w:val="24"/>
        </w:rPr>
        <w:t>.</w:t>
      </w:r>
      <w:r w:rsidRPr="00913B2E">
        <w:rPr>
          <w:rFonts w:ascii="Times New Roman" w:hAnsi="Times New Roman"/>
          <w:sz w:val="24"/>
          <w:szCs w:val="24"/>
        </w:rPr>
        <w:t xml:space="preserve"> 6</w:t>
      </w:r>
      <w:r>
        <w:rPr>
          <w:rFonts w:ascii="Times New Roman" w:hAnsi="Times New Roman"/>
          <w:sz w:val="24"/>
          <w:szCs w:val="24"/>
        </w:rPr>
        <w:t xml:space="preserve"> </w:t>
      </w:r>
      <w:r w:rsidRPr="00913B2E">
        <w:rPr>
          <w:rFonts w:ascii="Times New Roman" w:hAnsi="Times New Roman"/>
          <w:sz w:val="24"/>
          <w:szCs w:val="24"/>
        </w:rPr>
        <w:t>(Clark</w:t>
      </w:r>
      <w:r>
        <w:rPr>
          <w:rFonts w:ascii="Times New Roman" w:hAnsi="Times New Roman"/>
          <w:sz w:val="24"/>
          <w:szCs w:val="24"/>
        </w:rPr>
        <w:t xml:space="preserve">e </w:t>
      </w:r>
      <w:r w:rsidRPr="000A0A61">
        <w:rPr>
          <w:rFonts w:ascii="Times New Roman" w:hAnsi="Times New Roman"/>
          <w:i/>
          <w:sz w:val="24"/>
          <w:szCs w:val="24"/>
        </w:rPr>
        <w:t>et al</w:t>
      </w:r>
      <w:r>
        <w:rPr>
          <w:rFonts w:ascii="Times New Roman" w:hAnsi="Times New Roman"/>
          <w:sz w:val="24"/>
          <w:szCs w:val="24"/>
        </w:rPr>
        <w:t>.</w:t>
      </w:r>
      <w:r w:rsidRPr="00913B2E">
        <w:rPr>
          <w:rFonts w:ascii="Times New Roman" w:hAnsi="Times New Roman"/>
          <w:sz w:val="24"/>
          <w:szCs w:val="24"/>
        </w:rPr>
        <w:t>, 2014).</w:t>
      </w:r>
    </w:p>
    <w:p w14:paraId="07CCFBF9" w14:textId="77777777" w:rsidR="00F22AE1" w:rsidRDefault="00F22AE1" w:rsidP="00F22AE1">
      <w:pPr>
        <w:widowControl w:val="0"/>
        <w:overflowPunct w:val="0"/>
        <w:autoSpaceDE w:val="0"/>
        <w:autoSpaceDN w:val="0"/>
        <w:adjustRightInd w:val="0"/>
        <w:spacing w:after="0" w:line="480" w:lineRule="auto"/>
        <w:jc w:val="both"/>
        <w:rPr>
          <w:rFonts w:ascii="Times New Roman" w:hAnsi="Times New Roman"/>
          <w:sz w:val="24"/>
          <w:szCs w:val="24"/>
        </w:rPr>
      </w:pPr>
      <w:r w:rsidRPr="00913B2E">
        <w:rPr>
          <w:rFonts w:ascii="Times New Roman" w:hAnsi="Times New Roman"/>
          <w:sz w:val="24"/>
          <w:szCs w:val="24"/>
        </w:rPr>
        <w:t xml:space="preserve"> </w:t>
      </w:r>
    </w:p>
    <w:p w14:paraId="5DEB3FE5" w14:textId="77777777" w:rsidR="00F22AE1" w:rsidRDefault="00F22AE1" w:rsidP="00F22AE1">
      <w:pPr>
        <w:widowControl w:val="0"/>
        <w:overflowPunct w:val="0"/>
        <w:autoSpaceDE w:val="0"/>
        <w:autoSpaceDN w:val="0"/>
        <w:adjustRightInd w:val="0"/>
        <w:spacing w:after="0" w:line="480" w:lineRule="auto"/>
        <w:jc w:val="both"/>
        <w:rPr>
          <w:rFonts w:ascii="Times New Roman" w:hAnsi="Times New Roman"/>
          <w:sz w:val="24"/>
          <w:szCs w:val="24"/>
        </w:rPr>
      </w:pPr>
    </w:p>
    <w:p w14:paraId="24FF1620" w14:textId="77777777" w:rsidR="00F22AE1" w:rsidRPr="00913B2E" w:rsidRDefault="00F22AE1" w:rsidP="00F22AE1">
      <w:pPr>
        <w:widowControl w:val="0"/>
        <w:overflowPunct w:val="0"/>
        <w:autoSpaceDE w:val="0"/>
        <w:autoSpaceDN w:val="0"/>
        <w:adjustRightInd w:val="0"/>
        <w:spacing w:after="0" w:line="480" w:lineRule="auto"/>
        <w:jc w:val="both"/>
        <w:rPr>
          <w:rFonts w:ascii="Times New Roman" w:hAnsi="Times New Roman"/>
          <w:sz w:val="24"/>
          <w:szCs w:val="24"/>
        </w:rPr>
      </w:pPr>
    </w:p>
    <w:p w14:paraId="69008C9C" w14:textId="77777777" w:rsidR="00F22AE1" w:rsidRPr="00913B2E" w:rsidRDefault="00F22AE1" w:rsidP="00F22AE1">
      <w:pPr>
        <w:widowControl w:val="0"/>
        <w:overflowPunct w:val="0"/>
        <w:autoSpaceDE w:val="0"/>
        <w:autoSpaceDN w:val="0"/>
        <w:adjustRightInd w:val="0"/>
        <w:spacing w:after="0" w:line="480" w:lineRule="auto"/>
        <w:jc w:val="both"/>
        <w:rPr>
          <w:rFonts w:ascii="Times New Roman" w:hAnsi="Times New Roman"/>
          <w:sz w:val="24"/>
          <w:szCs w:val="24"/>
        </w:rPr>
      </w:pPr>
      <w:r w:rsidRPr="00913B2E">
        <w:rPr>
          <w:rFonts w:ascii="Times New Roman" w:hAnsi="Times New Roman"/>
          <w:sz w:val="24"/>
          <w:szCs w:val="24"/>
        </w:rPr>
        <w:t xml:space="preserve">Species diversity was analysed descriptively by use of </w:t>
      </w:r>
      <w:r>
        <w:rPr>
          <w:rFonts w:ascii="Times New Roman" w:hAnsi="Times New Roman"/>
          <w:sz w:val="24"/>
          <w:szCs w:val="24"/>
        </w:rPr>
        <w:t>R</w:t>
      </w:r>
      <w:r w:rsidRPr="00913B2E">
        <w:rPr>
          <w:rFonts w:ascii="Times New Roman" w:hAnsi="Times New Roman"/>
          <w:sz w:val="24"/>
          <w:szCs w:val="24"/>
        </w:rPr>
        <w:t xml:space="preserve">arefaction curves. The </w:t>
      </w:r>
      <w:r>
        <w:rPr>
          <w:rFonts w:ascii="Times New Roman" w:hAnsi="Times New Roman"/>
          <w:sz w:val="24"/>
          <w:szCs w:val="24"/>
        </w:rPr>
        <w:t>R</w:t>
      </w:r>
      <w:r w:rsidRPr="00913B2E">
        <w:rPr>
          <w:rFonts w:ascii="Times New Roman" w:hAnsi="Times New Roman"/>
          <w:sz w:val="24"/>
          <w:szCs w:val="24"/>
        </w:rPr>
        <w:t>arefaction technique is used to assess the expected number of species sampled in a given sample size. It is a plot of the number of species as a function of the sample</w:t>
      </w:r>
      <w:r>
        <w:rPr>
          <w:rFonts w:ascii="Times New Roman" w:hAnsi="Times New Roman"/>
          <w:sz w:val="24"/>
          <w:szCs w:val="24"/>
        </w:rPr>
        <w:t xml:space="preserve"> size</w:t>
      </w:r>
      <w:r w:rsidRPr="00913B2E">
        <w:rPr>
          <w:rFonts w:ascii="Times New Roman" w:hAnsi="Times New Roman"/>
          <w:sz w:val="24"/>
          <w:szCs w:val="24"/>
        </w:rPr>
        <w:t xml:space="preserve"> (Sanders, 1968). The </w:t>
      </w:r>
      <w:r>
        <w:rPr>
          <w:rFonts w:ascii="Times New Roman" w:hAnsi="Times New Roman"/>
          <w:sz w:val="24"/>
          <w:szCs w:val="24"/>
        </w:rPr>
        <w:t>R</w:t>
      </w:r>
      <w:r w:rsidRPr="00913B2E">
        <w:rPr>
          <w:rFonts w:ascii="Times New Roman" w:hAnsi="Times New Roman"/>
          <w:sz w:val="24"/>
          <w:szCs w:val="24"/>
        </w:rPr>
        <w:t xml:space="preserve">arefaction curves determined the expected number of species sampled in a given sample size </w:t>
      </w:r>
      <w:r>
        <w:rPr>
          <w:rFonts w:ascii="Times New Roman" w:hAnsi="Times New Roman"/>
          <w:sz w:val="24"/>
          <w:szCs w:val="24"/>
        </w:rPr>
        <w:t>across</w:t>
      </w:r>
      <w:r w:rsidRPr="00913B2E">
        <w:rPr>
          <w:rFonts w:ascii="Times New Roman" w:hAnsi="Times New Roman"/>
          <w:sz w:val="24"/>
          <w:szCs w:val="24"/>
        </w:rPr>
        <w:t xml:space="preserve"> fishing location with gear type combination where rarefaction standardizes non-uniform sampling and </w:t>
      </w:r>
      <w:r w:rsidRPr="00913B2E">
        <w:rPr>
          <w:rFonts w:ascii="Times New Roman" w:hAnsi="Times New Roman"/>
          <w:sz w:val="24"/>
          <w:szCs w:val="24"/>
        </w:rPr>
        <w:lastRenderedPageBreak/>
        <w:t>sample sizes.</w:t>
      </w:r>
    </w:p>
    <w:p w14:paraId="551F2559" w14:textId="77777777" w:rsidR="00F22AE1" w:rsidRPr="00913B2E" w:rsidRDefault="00F22AE1" w:rsidP="00F22AE1">
      <w:pPr>
        <w:widowControl w:val="0"/>
        <w:overflowPunct w:val="0"/>
        <w:autoSpaceDE w:val="0"/>
        <w:autoSpaceDN w:val="0"/>
        <w:adjustRightInd w:val="0"/>
        <w:spacing w:before="100" w:beforeAutospacing="1" w:after="0" w:line="480" w:lineRule="auto"/>
        <w:jc w:val="both"/>
        <w:rPr>
          <w:rFonts w:ascii="Times New Roman" w:hAnsi="Times New Roman"/>
          <w:sz w:val="24"/>
          <w:szCs w:val="24"/>
        </w:rPr>
      </w:pPr>
      <w:r w:rsidRPr="00913B2E">
        <w:rPr>
          <w:rFonts w:ascii="Times New Roman" w:hAnsi="Times New Roman"/>
          <w:sz w:val="24"/>
          <w:szCs w:val="24"/>
        </w:rPr>
        <w:t xml:space="preserve">The catch rate was calculated as </w:t>
      </w:r>
      <w:bookmarkStart w:id="1" w:name="_Hlk12874889"/>
      <w:r w:rsidRPr="00913B2E">
        <w:rPr>
          <w:rFonts w:ascii="Times New Roman" w:hAnsi="Times New Roman"/>
          <w:sz w:val="24"/>
          <w:szCs w:val="24"/>
        </w:rPr>
        <w:t>kg. fisher</w:t>
      </w:r>
      <w:r w:rsidRPr="00913B2E">
        <w:rPr>
          <w:rFonts w:ascii="Times New Roman" w:hAnsi="Times New Roman"/>
          <w:sz w:val="24"/>
          <w:szCs w:val="24"/>
          <w:vertAlign w:val="superscript"/>
        </w:rPr>
        <w:t>-1</w:t>
      </w:r>
      <w:r w:rsidRPr="00913B2E">
        <w:rPr>
          <w:rFonts w:ascii="Times New Roman" w:hAnsi="Times New Roman"/>
          <w:sz w:val="24"/>
          <w:szCs w:val="24"/>
        </w:rPr>
        <w:t>day</w:t>
      </w:r>
      <w:r w:rsidRPr="00913B2E">
        <w:rPr>
          <w:rFonts w:ascii="Times New Roman" w:hAnsi="Times New Roman"/>
          <w:sz w:val="24"/>
          <w:szCs w:val="24"/>
          <w:vertAlign w:val="superscript"/>
        </w:rPr>
        <w:t>-1</w:t>
      </w:r>
      <w:r>
        <w:rPr>
          <w:rFonts w:ascii="Times New Roman" w:hAnsi="Times New Roman"/>
          <w:sz w:val="24"/>
          <w:szCs w:val="24"/>
          <w:vertAlign w:val="superscript"/>
        </w:rPr>
        <w:t xml:space="preserve"> </w:t>
      </w:r>
      <w:bookmarkEnd w:id="1"/>
      <w:r w:rsidRPr="00913B2E">
        <w:rPr>
          <w:rFonts w:ascii="Times New Roman" w:hAnsi="Times New Roman"/>
          <w:sz w:val="24"/>
          <w:szCs w:val="24"/>
        </w:rPr>
        <w:t xml:space="preserve">for each gear-season combination where the total weight of catch landed in a day was divided by the number of fishers. Differences in catch rate between the gear-season combinations were determined using </w:t>
      </w:r>
      <w:r>
        <w:rPr>
          <w:rFonts w:ascii="Times New Roman" w:hAnsi="Times New Roman"/>
          <w:sz w:val="24"/>
          <w:szCs w:val="24"/>
        </w:rPr>
        <w:t>one</w:t>
      </w:r>
      <w:r w:rsidRPr="00913B2E">
        <w:rPr>
          <w:rFonts w:ascii="Times New Roman" w:hAnsi="Times New Roman"/>
          <w:sz w:val="24"/>
          <w:szCs w:val="24"/>
        </w:rPr>
        <w:t>-way ANOVA. The ANOVA test was followed by a post hoc pair-wise comparison using the TUKEY</w:t>
      </w:r>
      <w:r>
        <w:rPr>
          <w:rFonts w:ascii="Times New Roman" w:hAnsi="Times New Roman"/>
          <w:sz w:val="24"/>
          <w:szCs w:val="24"/>
        </w:rPr>
        <w:t>’S</w:t>
      </w:r>
      <w:r w:rsidRPr="00913B2E">
        <w:rPr>
          <w:rFonts w:ascii="Times New Roman" w:hAnsi="Times New Roman"/>
          <w:sz w:val="24"/>
          <w:szCs w:val="24"/>
        </w:rPr>
        <w:t xml:space="preserve"> HSD test</w:t>
      </w:r>
      <w:r>
        <w:rPr>
          <w:rFonts w:ascii="Times New Roman" w:hAnsi="Times New Roman"/>
          <w:sz w:val="24"/>
          <w:szCs w:val="24"/>
        </w:rPr>
        <w:t xml:space="preserve"> </w:t>
      </w:r>
      <w:r w:rsidRPr="00913B2E">
        <w:rPr>
          <w:rFonts w:ascii="Times New Roman" w:hAnsi="Times New Roman"/>
          <w:sz w:val="24"/>
          <w:szCs w:val="24"/>
        </w:rPr>
        <w:t xml:space="preserve">(Tukey, 1977). Homogeneity of variance as a requirement for ANOVA test was tested using the </w:t>
      </w:r>
      <w:proofErr w:type="spellStart"/>
      <w:r w:rsidRPr="00913B2E">
        <w:rPr>
          <w:rFonts w:ascii="Times New Roman" w:hAnsi="Times New Roman"/>
          <w:sz w:val="24"/>
          <w:szCs w:val="24"/>
        </w:rPr>
        <w:t>Levene’s</w:t>
      </w:r>
      <w:proofErr w:type="spellEnd"/>
      <w:r w:rsidRPr="00913B2E">
        <w:rPr>
          <w:rFonts w:ascii="Times New Roman" w:hAnsi="Times New Roman"/>
          <w:sz w:val="24"/>
          <w:szCs w:val="24"/>
        </w:rPr>
        <w:t xml:space="preserve"> test (</w:t>
      </w:r>
      <w:proofErr w:type="spellStart"/>
      <w:r w:rsidRPr="00913B2E">
        <w:rPr>
          <w:rFonts w:ascii="Times New Roman" w:hAnsi="Times New Roman"/>
          <w:sz w:val="24"/>
          <w:szCs w:val="24"/>
        </w:rPr>
        <w:t>Levene</w:t>
      </w:r>
      <w:proofErr w:type="spellEnd"/>
      <w:r w:rsidRPr="00913B2E">
        <w:rPr>
          <w:rFonts w:ascii="Times New Roman" w:hAnsi="Times New Roman"/>
          <w:sz w:val="24"/>
          <w:szCs w:val="24"/>
        </w:rPr>
        <w:t>, 1960).</w:t>
      </w:r>
    </w:p>
    <w:p w14:paraId="26E897A8" w14:textId="77777777" w:rsidR="00F22AE1" w:rsidRPr="00EC0BD2" w:rsidRDefault="00F22AE1" w:rsidP="00F22AE1">
      <w:pPr>
        <w:widowControl w:val="0"/>
        <w:overflowPunct w:val="0"/>
        <w:autoSpaceDE w:val="0"/>
        <w:autoSpaceDN w:val="0"/>
        <w:adjustRightInd w:val="0"/>
        <w:spacing w:before="100" w:beforeAutospacing="1" w:after="0" w:line="480" w:lineRule="auto"/>
        <w:jc w:val="both"/>
        <w:rPr>
          <w:rFonts w:ascii="Times New Roman" w:hAnsi="Times New Roman"/>
          <w:sz w:val="24"/>
          <w:szCs w:val="24"/>
        </w:rPr>
      </w:pPr>
      <w:r w:rsidRPr="00EC0BD2">
        <w:rPr>
          <w:rFonts w:ascii="Times New Roman" w:hAnsi="Times New Roman"/>
          <w:sz w:val="24"/>
          <w:szCs w:val="24"/>
        </w:rPr>
        <w:t>All species were pooled into family level for trophic level (</w:t>
      </w:r>
      <w:proofErr w:type="spellStart"/>
      <w:r w:rsidRPr="00EC0BD2">
        <w:rPr>
          <w:rFonts w:ascii="Times New Roman" w:hAnsi="Times New Roman"/>
          <w:sz w:val="24"/>
          <w:szCs w:val="24"/>
        </w:rPr>
        <w:t>TLev</w:t>
      </w:r>
      <w:proofErr w:type="spellEnd"/>
      <w:r w:rsidRPr="00EC0BD2">
        <w:rPr>
          <w:rFonts w:ascii="Times New Roman" w:hAnsi="Times New Roman"/>
          <w:sz w:val="24"/>
          <w:szCs w:val="24"/>
        </w:rPr>
        <w:t xml:space="preserve">) analysis (Smith &amp; </w:t>
      </w:r>
      <w:proofErr w:type="spellStart"/>
      <w:r w:rsidRPr="00EC0BD2">
        <w:rPr>
          <w:rFonts w:ascii="Times New Roman" w:hAnsi="Times New Roman"/>
          <w:sz w:val="24"/>
          <w:szCs w:val="24"/>
        </w:rPr>
        <w:t>Heemstra</w:t>
      </w:r>
      <w:proofErr w:type="spellEnd"/>
      <w:r w:rsidRPr="00EC0BD2">
        <w:rPr>
          <w:rFonts w:ascii="Times New Roman" w:hAnsi="Times New Roman"/>
          <w:sz w:val="24"/>
          <w:szCs w:val="24"/>
        </w:rPr>
        <w:t>, 2003) using data on trophic levels by species from FishBase (2019)</w:t>
      </w:r>
      <w:r w:rsidRPr="00BB628C">
        <w:rPr>
          <w:rFonts w:ascii="Times New Roman" w:hAnsi="Times New Roman"/>
          <w:sz w:val="24"/>
          <w:szCs w:val="24"/>
        </w:rPr>
        <w:fldChar w:fldCharType="begin"/>
      </w:r>
      <w:r w:rsidRPr="00BB628C">
        <w:rPr>
          <w:rFonts w:ascii="Times New Roman" w:hAnsi="Times New Roman"/>
          <w:sz w:val="24"/>
          <w:szCs w:val="24"/>
        </w:rPr>
        <w:fldChar w:fldCharType="separate"/>
      </w:r>
      <w:r w:rsidRPr="00BB628C">
        <w:rPr>
          <w:rFonts w:ascii="Times New Roman" w:hAnsi="Times New Roman"/>
          <w:sz w:val="24"/>
          <w:szCs w:val="24"/>
        </w:rPr>
        <w:t>(Froese &amp; Pauly, 2018)</w:t>
      </w:r>
      <w:r w:rsidRPr="00BB628C">
        <w:rPr>
          <w:rFonts w:ascii="Times New Roman" w:hAnsi="Times New Roman"/>
          <w:sz w:val="24"/>
          <w:szCs w:val="24"/>
        </w:rPr>
        <w:fldChar w:fldCharType="end"/>
      </w:r>
      <w:r w:rsidRPr="00EC0BD2">
        <w:rPr>
          <w:rFonts w:ascii="Times New Roman" w:hAnsi="Times New Roman"/>
          <w:sz w:val="24"/>
          <w:szCs w:val="24"/>
        </w:rPr>
        <w:t>. Trophic level estimates for each fish family were based on diet composition data from FishBase (2019) where the trophic level of each fraction of the diet of the fish was used to calculate the mean trophic level for the family</w:t>
      </w:r>
      <w:r w:rsidRPr="00B42369">
        <w:rPr>
          <w:rFonts w:ascii="Times New Roman" w:hAnsi="Times New Roman"/>
          <w:sz w:val="24"/>
          <w:szCs w:val="24"/>
        </w:rPr>
        <w:t xml:space="preserve">. Since plants, macroalgae and detritus are defined as trophic level 1, the following fish trophic levels were used: herbivores as trophic level 2, omnivores as trophic level 3, and carnivores as trophic level 4. </w:t>
      </w:r>
      <w:r w:rsidRPr="00EC0BD2">
        <w:rPr>
          <w:rFonts w:ascii="Times New Roman" w:hAnsi="Times New Roman"/>
          <w:sz w:val="24"/>
          <w:szCs w:val="24"/>
        </w:rPr>
        <w:t xml:space="preserve"> The mean trophic level of the catch for each gear by location was calculated using MS Excel. Differences in fish sizes (mean TL, cm) and the mean trophic level between the gear classification and locations for the most abundant species was determined using one-way ANOVA. </w:t>
      </w:r>
      <w:r w:rsidRPr="00EC0BD2">
        <w:rPr>
          <w:rFonts w:ascii="Times New Roman" w:hAnsi="Times New Roman"/>
          <w:bCs/>
          <w:color w:val="000000"/>
          <w:sz w:val="24"/>
          <w:szCs w:val="24"/>
          <w:lang w:val="en-US" w:eastAsia="en-US"/>
        </w:rPr>
        <w:t>To test for the effect of interaction between location and gear classification, a two-way ANOVA was used.</w:t>
      </w:r>
      <w:r w:rsidRPr="00EC0BD2">
        <w:rPr>
          <w:rFonts w:ascii="Times New Roman" w:hAnsi="Times New Roman"/>
          <w:sz w:val="24"/>
          <w:szCs w:val="24"/>
        </w:rPr>
        <w:t xml:space="preserve"> Significance was determined at p &lt; 0.05 for all statistical tests (</w:t>
      </w:r>
      <w:proofErr w:type="spellStart"/>
      <w:r w:rsidRPr="00EC0BD2">
        <w:rPr>
          <w:rFonts w:ascii="Times New Roman" w:hAnsi="Times New Roman"/>
          <w:sz w:val="24"/>
          <w:szCs w:val="24"/>
        </w:rPr>
        <w:t>Zar</w:t>
      </w:r>
      <w:proofErr w:type="spellEnd"/>
      <w:r w:rsidRPr="00EC0BD2">
        <w:rPr>
          <w:rFonts w:ascii="Times New Roman" w:hAnsi="Times New Roman"/>
          <w:sz w:val="24"/>
          <w:szCs w:val="24"/>
        </w:rPr>
        <w:t>, 2010).</w:t>
      </w:r>
    </w:p>
    <w:p w14:paraId="460917E0" w14:textId="77777777" w:rsidR="00EF058D" w:rsidRDefault="00EF058D"/>
    <w:sectPr w:rsidR="00EF0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comments="0" w:insDel="0" w:formatting="0"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E1"/>
    <w:rsid w:val="00506CE2"/>
    <w:rsid w:val="00A769D7"/>
    <w:rsid w:val="00EF058D"/>
    <w:rsid w:val="00EF1D0F"/>
    <w:rsid w:val="00F22AE1"/>
    <w:rsid w:val="00F4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D11E"/>
  <w15:chartTrackingRefBased/>
  <w15:docId w15:val="{CE9C0C66-70B5-48D8-96A8-E405483C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AE1"/>
    <w:pPr>
      <w:spacing w:after="200" w:line="276" w:lineRule="auto"/>
    </w:pPr>
    <w:rPr>
      <w:rFonts w:ascii="Calibri" w:eastAsia="Times New Roman" w:hAnsi="Calibri" w:cs="Times New Roman"/>
      <w:kern w:val="0"/>
      <w:lang w:val="en-GB" w:eastAsia="en-GB"/>
      <w14:ligatures w14:val="none"/>
    </w:rPr>
  </w:style>
  <w:style w:type="paragraph" w:styleId="Heading2">
    <w:name w:val="heading 2"/>
    <w:basedOn w:val="Normal"/>
    <w:next w:val="Normal"/>
    <w:link w:val="Heading2Char"/>
    <w:uiPriority w:val="9"/>
    <w:unhideWhenUsed/>
    <w:qFormat/>
    <w:rsid w:val="00F22AE1"/>
    <w:pPr>
      <w:keepNext/>
      <w:keepLines/>
      <w:spacing w:before="40" w:after="0"/>
      <w:outlineLvl w:val="1"/>
    </w:pPr>
    <w:rPr>
      <w:rFonts w:ascii="Cambria" w:hAnsi="Cambria"/>
      <w:color w:val="365F91"/>
      <w:sz w:val="26"/>
      <w:szCs w:val="26"/>
      <w:lang w:val="en-US" w:eastAsia="en-US"/>
    </w:rPr>
  </w:style>
  <w:style w:type="paragraph" w:styleId="Heading3">
    <w:name w:val="heading 3"/>
    <w:basedOn w:val="Normal"/>
    <w:next w:val="Normal"/>
    <w:link w:val="Heading3Char"/>
    <w:uiPriority w:val="9"/>
    <w:unhideWhenUsed/>
    <w:qFormat/>
    <w:rsid w:val="00F22AE1"/>
    <w:pPr>
      <w:keepNext/>
      <w:keepLines/>
      <w:spacing w:before="40" w:after="0"/>
      <w:outlineLvl w:val="2"/>
    </w:pPr>
    <w:rPr>
      <w:rFonts w:ascii="Cambria"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AE1"/>
    <w:rPr>
      <w:rFonts w:ascii="Cambria" w:eastAsia="Times New Roman" w:hAnsi="Cambria" w:cs="Times New Roman"/>
      <w:color w:val="365F91"/>
      <w:kern w:val="0"/>
      <w:sz w:val="26"/>
      <w:szCs w:val="26"/>
      <w14:ligatures w14:val="none"/>
    </w:rPr>
  </w:style>
  <w:style w:type="character" w:customStyle="1" w:styleId="Heading3Char">
    <w:name w:val="Heading 3 Char"/>
    <w:basedOn w:val="DefaultParagraphFont"/>
    <w:link w:val="Heading3"/>
    <w:uiPriority w:val="9"/>
    <w:rsid w:val="00F22AE1"/>
    <w:rPr>
      <w:rFonts w:ascii="Cambria" w:eastAsia="Times New Roman" w:hAnsi="Cambria" w:cs="Times New Roman"/>
      <w:color w:val="243F60"/>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Gitonga</dc:creator>
  <cp:keywords/>
  <dc:description/>
  <cp:lastModifiedBy>Lena Gitonga</cp:lastModifiedBy>
  <cp:revision>1</cp:revision>
  <dcterms:created xsi:type="dcterms:W3CDTF">2023-02-24T09:11:00Z</dcterms:created>
  <dcterms:modified xsi:type="dcterms:W3CDTF">2023-02-24T09:13:00Z</dcterms:modified>
</cp:coreProperties>
</file>