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D85" w:rsidRDefault="00A32C82" w:rsidP="00A32C82">
      <w:pPr>
        <w:pStyle w:val="Heading2"/>
        <w:jc w:val="center"/>
      </w:pPr>
      <w:bookmarkStart w:id="0" w:name="distribution-over-space"/>
      <w:r>
        <w:t>Species Diversity</w:t>
      </w:r>
    </w:p>
    <w:p w:rsidR="00A32C82" w:rsidRPr="00A32C82" w:rsidRDefault="00A32C82" w:rsidP="00A32C82">
      <w:pPr>
        <w:pStyle w:val="BodyText"/>
      </w:pPr>
      <w:r>
        <w:t xml:space="preserve">Three diversity indices were used to determine the diversity of species across sampling sites, sampling seasons and different phases of the moon; the indices used included the Shannon weaver diversity index, Simpson’s and inverse Simpson’s diversity index. The indices were fairly consisted across the grouping variables which included the seasons, moon phase and seasons. Regarding the sampling sites, SBE1, the first station had the highest diversity followed by SBE2, then SBE4 while SBE3 trailed with the lowest diversity. The results are as illustrated in the tables below. </w:t>
      </w:r>
    </w:p>
    <w:p w:rsidR="002B1D85" w:rsidRDefault="00C00B64">
      <w:pPr>
        <w:pStyle w:val="Heading2"/>
      </w:pPr>
      <w:bookmarkStart w:id="1" w:name="diversity-across-sampling-sites"/>
      <w:bookmarkEnd w:id="0"/>
      <w:r>
        <w:t>Diversity across sampling sites</w:t>
      </w:r>
    </w:p>
    <w:tbl>
      <w:tblPr>
        <w:tblStyle w:val="Table"/>
        <w:tblW w:w="5000" w:type="pct"/>
        <w:jc w:val="center"/>
        <w:tblCellMar>
          <w:left w:w="60" w:type="dxa"/>
          <w:right w:w="60" w:type="dxa"/>
        </w:tblCellMar>
        <w:tblLook w:val="0000" w:firstRow="0" w:lastRow="0" w:firstColumn="0" w:lastColumn="0" w:noHBand="0" w:noVBand="0"/>
      </w:tblPr>
      <w:tblGrid>
        <w:gridCol w:w="1226"/>
        <w:gridCol w:w="2315"/>
        <w:gridCol w:w="2315"/>
        <w:gridCol w:w="3504"/>
      </w:tblGrid>
      <w:tr w:rsidR="002B1D85" w:rsidTr="002B1D85">
        <w:trPr>
          <w:cantSplit/>
          <w:tblHeader/>
          <w:jc w:val="center"/>
        </w:trPr>
        <w:tc>
          <w:tcPr>
            <w:tcW w:w="0" w:type="auto"/>
            <w:tcBorders>
              <w:top w:val="single" w:sz="16" w:space="0" w:color="D3D3D3"/>
              <w:left w:val="single" w:sz="0" w:space="0" w:color="D3D3D3"/>
            </w:tcBorders>
          </w:tcPr>
          <w:p w:rsidR="002B1D85" w:rsidRDefault="002B1D85">
            <w:pPr>
              <w:keepNext/>
              <w:spacing w:after="60"/>
            </w:pPr>
          </w:p>
        </w:tc>
        <w:tc>
          <w:tcPr>
            <w:tcW w:w="0" w:type="auto"/>
            <w:gridSpan w:val="3"/>
            <w:tcBorders>
              <w:top w:val="single" w:sz="16" w:space="0" w:color="D3D3D3"/>
              <w:bottom w:val="single" w:sz="16" w:space="0" w:color="D3D3D3"/>
              <w:right w:val="single" w:sz="0" w:space="0" w:color="D3D3D3"/>
            </w:tcBorders>
          </w:tcPr>
          <w:p w:rsidR="002B1D85" w:rsidRDefault="00C00B64">
            <w:pPr>
              <w:keepNext/>
              <w:spacing w:after="60"/>
              <w:jc w:val="center"/>
            </w:pPr>
            <w:r>
              <w:rPr>
                <w:rFonts w:ascii="Calibri" w:hAnsi="Calibri"/>
                <w:sz w:val="20"/>
              </w:rPr>
              <w:t>Ecological Divesity Indices</w:t>
            </w:r>
          </w:p>
        </w:tc>
      </w:tr>
      <w:tr w:rsidR="002B1D85" w:rsidTr="002B1D85">
        <w:trPr>
          <w:cantSplit/>
          <w:tblHeader/>
          <w:jc w:val="center"/>
        </w:trPr>
        <w:tc>
          <w:tcPr>
            <w:tcW w:w="0" w:type="auto"/>
            <w:tcBorders>
              <w:left w:val="single" w:sz="0" w:space="0" w:color="D3D3D3"/>
              <w:bottom w:val="single" w:sz="16" w:space="0" w:color="D3D3D3"/>
            </w:tcBorders>
          </w:tcPr>
          <w:p w:rsidR="002B1D85" w:rsidRDefault="00C00B64">
            <w:pPr>
              <w:keepNext/>
              <w:spacing w:after="60"/>
            </w:pPr>
            <w:r>
              <w:rPr>
                <w:rFonts w:ascii="Calibri" w:hAnsi="Calibri"/>
                <w:sz w:val="20"/>
              </w:rPr>
              <w:t>Site</w:t>
            </w:r>
          </w:p>
        </w:tc>
        <w:tc>
          <w:tcPr>
            <w:tcW w:w="0" w:type="auto"/>
            <w:tcBorders>
              <w:bottom w:val="single" w:sz="16" w:space="0" w:color="D3D3D3"/>
            </w:tcBorders>
          </w:tcPr>
          <w:p w:rsidR="002B1D85" w:rsidRDefault="00C00B64">
            <w:pPr>
              <w:keepNext/>
              <w:spacing w:after="60"/>
            </w:pPr>
            <w:r>
              <w:rPr>
                <w:rFonts w:ascii="Calibri" w:hAnsi="Calibri"/>
                <w:sz w:val="20"/>
              </w:rPr>
              <w:t>shannon</w:t>
            </w:r>
          </w:p>
        </w:tc>
        <w:tc>
          <w:tcPr>
            <w:tcW w:w="0" w:type="auto"/>
            <w:tcBorders>
              <w:bottom w:val="single" w:sz="16" w:space="0" w:color="D3D3D3"/>
            </w:tcBorders>
          </w:tcPr>
          <w:p w:rsidR="002B1D85" w:rsidRDefault="00C00B64">
            <w:pPr>
              <w:keepNext/>
              <w:spacing w:after="60"/>
            </w:pPr>
            <w:r>
              <w:rPr>
                <w:rFonts w:ascii="Calibri" w:hAnsi="Calibri"/>
                <w:sz w:val="20"/>
              </w:rPr>
              <w:t>simpson</w:t>
            </w:r>
          </w:p>
        </w:tc>
        <w:tc>
          <w:tcPr>
            <w:tcW w:w="0" w:type="auto"/>
            <w:tcBorders>
              <w:bottom w:val="single" w:sz="16" w:space="0" w:color="D3D3D3"/>
              <w:right w:val="single" w:sz="0" w:space="0" w:color="D3D3D3"/>
            </w:tcBorders>
          </w:tcPr>
          <w:p w:rsidR="002B1D85" w:rsidRDefault="00C00B64">
            <w:pPr>
              <w:keepNext/>
              <w:spacing w:after="60"/>
            </w:pPr>
            <w:r>
              <w:rPr>
                <w:rFonts w:ascii="Calibri" w:hAnsi="Calibri"/>
                <w:sz w:val="20"/>
              </w:rPr>
              <w:t>i</w:t>
            </w:r>
            <w:r>
              <w:rPr>
                <w:rFonts w:ascii="Calibri" w:hAnsi="Calibri"/>
                <w:sz w:val="20"/>
              </w:rPr>
              <w:t>nverse_simpson</w:t>
            </w:r>
          </w:p>
        </w:tc>
      </w:tr>
      <w:tr w:rsidR="002B1D85" w:rsidTr="002B1D85">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SBE1</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1.8947475</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0.7576789</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4.126756</w:t>
            </w:r>
          </w:p>
        </w:tc>
      </w:tr>
      <w:tr w:rsidR="002B1D85" w:rsidTr="002B1D85">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SBE2</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1.4892124</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0.6344260</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2.735424</w:t>
            </w:r>
          </w:p>
        </w:tc>
      </w:tr>
      <w:tr w:rsidR="002B1D85" w:rsidTr="002B1D85">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SBE3</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0.8700680</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0.3525871</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1.544609</w:t>
            </w:r>
          </w:p>
        </w:tc>
      </w:tr>
      <w:tr w:rsidR="002B1D85" w:rsidTr="002B1D85">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SBE4</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0.9421475</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0.3839985</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1.623373</w:t>
            </w:r>
          </w:p>
        </w:tc>
      </w:tr>
    </w:tbl>
    <w:p w:rsidR="002B1D85" w:rsidRDefault="00C00B64">
      <w:pPr>
        <w:pStyle w:val="Heading2"/>
      </w:pPr>
      <w:bookmarkStart w:id="2" w:name="diversity-across-seasons"/>
      <w:bookmarkEnd w:id="1"/>
      <w:r>
        <w:t>Diversity across seasons</w:t>
      </w:r>
    </w:p>
    <w:p w:rsidR="00A32C82" w:rsidRPr="00A32C82" w:rsidRDefault="00A32C82" w:rsidP="00A32C82">
      <w:pPr>
        <w:pStyle w:val="BodyText"/>
      </w:pPr>
      <w:r>
        <w:t xml:space="preserve">The diversity of caught species was higher in the dry season compared with the wet season. </w:t>
      </w:r>
    </w:p>
    <w:tbl>
      <w:tblPr>
        <w:tblStyle w:val="Table"/>
        <w:tblW w:w="5000" w:type="pct"/>
        <w:jc w:val="center"/>
        <w:tblCellMar>
          <w:left w:w="60" w:type="dxa"/>
          <w:right w:w="60" w:type="dxa"/>
        </w:tblCellMar>
        <w:tblLook w:val="0000" w:firstRow="0" w:lastRow="0" w:firstColumn="0" w:lastColumn="0" w:noHBand="0" w:noVBand="0"/>
      </w:tblPr>
      <w:tblGrid>
        <w:gridCol w:w="1610"/>
        <w:gridCol w:w="2039"/>
        <w:gridCol w:w="2272"/>
        <w:gridCol w:w="3439"/>
      </w:tblGrid>
      <w:tr w:rsidR="002B1D85" w:rsidTr="002B1D85">
        <w:trPr>
          <w:cantSplit/>
          <w:tblHeader/>
          <w:jc w:val="center"/>
        </w:trPr>
        <w:tc>
          <w:tcPr>
            <w:tcW w:w="0" w:type="auto"/>
            <w:tcBorders>
              <w:top w:val="single" w:sz="16" w:space="0" w:color="D3D3D3"/>
              <w:left w:val="single" w:sz="0" w:space="0" w:color="D3D3D3"/>
            </w:tcBorders>
          </w:tcPr>
          <w:p w:rsidR="002B1D85" w:rsidRDefault="002B1D85">
            <w:pPr>
              <w:keepNext/>
              <w:spacing w:after="60"/>
            </w:pPr>
          </w:p>
        </w:tc>
        <w:tc>
          <w:tcPr>
            <w:tcW w:w="0" w:type="auto"/>
            <w:gridSpan w:val="3"/>
            <w:tcBorders>
              <w:top w:val="single" w:sz="16" w:space="0" w:color="D3D3D3"/>
              <w:bottom w:val="single" w:sz="16" w:space="0" w:color="D3D3D3"/>
              <w:right w:val="single" w:sz="0" w:space="0" w:color="D3D3D3"/>
            </w:tcBorders>
          </w:tcPr>
          <w:p w:rsidR="002B1D85" w:rsidRDefault="00C00B64">
            <w:pPr>
              <w:keepNext/>
              <w:spacing w:after="60"/>
              <w:jc w:val="center"/>
            </w:pPr>
            <w:r>
              <w:rPr>
                <w:rFonts w:ascii="Calibri" w:hAnsi="Calibri"/>
                <w:sz w:val="20"/>
              </w:rPr>
              <w:t>Ecological Divesity Indices</w:t>
            </w:r>
          </w:p>
        </w:tc>
      </w:tr>
      <w:tr w:rsidR="002B1D85" w:rsidTr="002B1D85">
        <w:trPr>
          <w:cantSplit/>
          <w:tblHeader/>
          <w:jc w:val="center"/>
        </w:trPr>
        <w:tc>
          <w:tcPr>
            <w:tcW w:w="0" w:type="auto"/>
            <w:tcBorders>
              <w:left w:val="single" w:sz="0" w:space="0" w:color="D3D3D3"/>
              <w:bottom w:val="single" w:sz="16" w:space="0" w:color="D3D3D3"/>
            </w:tcBorders>
          </w:tcPr>
          <w:p w:rsidR="002B1D85" w:rsidRDefault="00C00B64">
            <w:pPr>
              <w:keepNext/>
              <w:spacing w:after="60"/>
            </w:pPr>
            <w:r>
              <w:rPr>
                <w:rFonts w:ascii="Calibri" w:hAnsi="Calibri"/>
                <w:sz w:val="20"/>
              </w:rPr>
              <w:t>Season</w:t>
            </w:r>
          </w:p>
        </w:tc>
        <w:tc>
          <w:tcPr>
            <w:tcW w:w="0" w:type="auto"/>
            <w:tcBorders>
              <w:bottom w:val="single" w:sz="16" w:space="0" w:color="D3D3D3"/>
            </w:tcBorders>
          </w:tcPr>
          <w:p w:rsidR="002B1D85" w:rsidRDefault="00C00B64">
            <w:pPr>
              <w:keepNext/>
              <w:spacing w:after="60"/>
            </w:pPr>
            <w:r>
              <w:rPr>
                <w:rFonts w:ascii="Calibri" w:hAnsi="Calibri"/>
                <w:sz w:val="20"/>
              </w:rPr>
              <w:t>shannon</w:t>
            </w:r>
          </w:p>
        </w:tc>
        <w:tc>
          <w:tcPr>
            <w:tcW w:w="0" w:type="auto"/>
            <w:tcBorders>
              <w:bottom w:val="single" w:sz="16" w:space="0" w:color="D3D3D3"/>
            </w:tcBorders>
          </w:tcPr>
          <w:p w:rsidR="002B1D85" w:rsidRDefault="00C00B64">
            <w:pPr>
              <w:keepNext/>
              <w:spacing w:after="60"/>
            </w:pPr>
            <w:r>
              <w:rPr>
                <w:rFonts w:ascii="Calibri" w:hAnsi="Calibri"/>
                <w:sz w:val="20"/>
              </w:rPr>
              <w:t>simpson</w:t>
            </w:r>
          </w:p>
        </w:tc>
        <w:tc>
          <w:tcPr>
            <w:tcW w:w="0" w:type="auto"/>
            <w:tcBorders>
              <w:bottom w:val="single" w:sz="16" w:space="0" w:color="D3D3D3"/>
              <w:right w:val="single" w:sz="0" w:space="0" w:color="D3D3D3"/>
            </w:tcBorders>
          </w:tcPr>
          <w:p w:rsidR="002B1D85" w:rsidRDefault="00C00B64">
            <w:pPr>
              <w:keepNext/>
              <w:spacing w:after="60"/>
            </w:pPr>
            <w:r>
              <w:rPr>
                <w:rFonts w:ascii="Calibri" w:hAnsi="Calibri"/>
                <w:sz w:val="20"/>
              </w:rPr>
              <w:t>inverse_simpson</w:t>
            </w:r>
          </w:p>
        </w:tc>
      </w:tr>
      <w:tr w:rsidR="002B1D85" w:rsidTr="002B1D85">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Wet</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1.213436</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0.4642996</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1.866715</w:t>
            </w:r>
          </w:p>
        </w:tc>
      </w:tr>
      <w:tr w:rsidR="002B1D85" w:rsidTr="002B1D85">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Dry</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1.260849</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0.5633560</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2.290195</w:t>
            </w:r>
          </w:p>
        </w:tc>
      </w:tr>
    </w:tbl>
    <w:p w:rsidR="002B1D85" w:rsidRDefault="00C00B64">
      <w:pPr>
        <w:pStyle w:val="Heading2"/>
      </w:pPr>
      <w:bookmarkStart w:id="3" w:name="divesity-across-moon-phases"/>
      <w:bookmarkEnd w:id="2"/>
      <w:r>
        <w:t>Divesity across moon phases</w:t>
      </w:r>
    </w:p>
    <w:p w:rsidR="00A32C82" w:rsidRPr="00A32C82" w:rsidRDefault="00A32C82" w:rsidP="00A32C82">
      <w:pPr>
        <w:pStyle w:val="BodyText"/>
      </w:pPr>
      <w:r>
        <w:t xml:space="preserve">The last quarter phase of the moon experienced higher diversity followed by the full moon, then wanning gibbous, then first quarter while the waxing crescent had the lowest diversity index. </w:t>
      </w:r>
      <w:bookmarkStart w:id="4" w:name="_GoBack"/>
      <w:bookmarkEnd w:id="4"/>
    </w:p>
    <w:tbl>
      <w:tblPr>
        <w:tblStyle w:val="Table"/>
        <w:tblW w:w="5000" w:type="pct"/>
        <w:jc w:val="center"/>
        <w:tblCellMar>
          <w:left w:w="60" w:type="dxa"/>
          <w:right w:w="60" w:type="dxa"/>
        </w:tblCellMar>
        <w:tblLook w:val="0000" w:firstRow="0" w:lastRow="0" w:firstColumn="0" w:lastColumn="0" w:noHBand="0" w:noVBand="0"/>
      </w:tblPr>
      <w:tblGrid>
        <w:gridCol w:w="2937"/>
        <w:gridCol w:w="1828"/>
        <w:gridCol w:w="1828"/>
        <w:gridCol w:w="2767"/>
      </w:tblGrid>
      <w:tr w:rsidR="002B1D85" w:rsidTr="002B1D85">
        <w:trPr>
          <w:cantSplit/>
          <w:tblHeader/>
          <w:jc w:val="center"/>
        </w:trPr>
        <w:tc>
          <w:tcPr>
            <w:tcW w:w="0" w:type="auto"/>
            <w:tcBorders>
              <w:top w:val="single" w:sz="16" w:space="0" w:color="D3D3D3"/>
              <w:left w:val="single" w:sz="0" w:space="0" w:color="D3D3D3"/>
            </w:tcBorders>
          </w:tcPr>
          <w:p w:rsidR="002B1D85" w:rsidRDefault="002B1D85">
            <w:pPr>
              <w:keepNext/>
              <w:spacing w:after="60"/>
            </w:pPr>
          </w:p>
        </w:tc>
        <w:tc>
          <w:tcPr>
            <w:tcW w:w="0" w:type="auto"/>
            <w:gridSpan w:val="3"/>
            <w:tcBorders>
              <w:top w:val="single" w:sz="16" w:space="0" w:color="D3D3D3"/>
              <w:bottom w:val="single" w:sz="16" w:space="0" w:color="D3D3D3"/>
              <w:right w:val="single" w:sz="0" w:space="0" w:color="D3D3D3"/>
            </w:tcBorders>
          </w:tcPr>
          <w:p w:rsidR="002B1D85" w:rsidRDefault="00C00B64">
            <w:pPr>
              <w:keepNext/>
              <w:spacing w:after="60"/>
              <w:jc w:val="center"/>
            </w:pPr>
            <w:r>
              <w:rPr>
                <w:rFonts w:ascii="Calibri" w:hAnsi="Calibri"/>
                <w:sz w:val="20"/>
              </w:rPr>
              <w:t>Ecological Divesity Indices</w:t>
            </w:r>
          </w:p>
        </w:tc>
      </w:tr>
      <w:tr w:rsidR="002B1D85" w:rsidTr="002B1D85">
        <w:trPr>
          <w:cantSplit/>
          <w:tblHeader/>
          <w:jc w:val="center"/>
        </w:trPr>
        <w:tc>
          <w:tcPr>
            <w:tcW w:w="0" w:type="auto"/>
            <w:tcBorders>
              <w:left w:val="single" w:sz="0" w:space="0" w:color="D3D3D3"/>
              <w:bottom w:val="single" w:sz="16" w:space="0" w:color="D3D3D3"/>
            </w:tcBorders>
          </w:tcPr>
          <w:p w:rsidR="002B1D85" w:rsidRDefault="00C00B64">
            <w:pPr>
              <w:keepNext/>
              <w:spacing w:after="60"/>
            </w:pPr>
            <w:r>
              <w:rPr>
                <w:rFonts w:ascii="Calibri" w:hAnsi="Calibri"/>
                <w:sz w:val="20"/>
              </w:rPr>
              <w:t>Moon_Phase</w:t>
            </w:r>
          </w:p>
        </w:tc>
        <w:tc>
          <w:tcPr>
            <w:tcW w:w="0" w:type="auto"/>
            <w:tcBorders>
              <w:bottom w:val="single" w:sz="16" w:space="0" w:color="D3D3D3"/>
            </w:tcBorders>
          </w:tcPr>
          <w:p w:rsidR="002B1D85" w:rsidRDefault="00C00B64">
            <w:pPr>
              <w:keepNext/>
              <w:spacing w:after="60"/>
            </w:pPr>
            <w:r>
              <w:rPr>
                <w:rFonts w:ascii="Calibri" w:hAnsi="Calibri"/>
                <w:sz w:val="20"/>
              </w:rPr>
              <w:t>shannon</w:t>
            </w:r>
          </w:p>
        </w:tc>
        <w:tc>
          <w:tcPr>
            <w:tcW w:w="0" w:type="auto"/>
            <w:tcBorders>
              <w:bottom w:val="single" w:sz="16" w:space="0" w:color="D3D3D3"/>
            </w:tcBorders>
          </w:tcPr>
          <w:p w:rsidR="002B1D85" w:rsidRDefault="00C00B64">
            <w:pPr>
              <w:keepNext/>
              <w:spacing w:after="60"/>
            </w:pPr>
            <w:r>
              <w:rPr>
                <w:rFonts w:ascii="Calibri" w:hAnsi="Calibri"/>
                <w:sz w:val="20"/>
              </w:rPr>
              <w:t>simpson</w:t>
            </w:r>
          </w:p>
        </w:tc>
        <w:tc>
          <w:tcPr>
            <w:tcW w:w="0" w:type="auto"/>
            <w:tcBorders>
              <w:bottom w:val="single" w:sz="16" w:space="0" w:color="D3D3D3"/>
              <w:right w:val="single" w:sz="0" w:space="0" w:color="D3D3D3"/>
            </w:tcBorders>
          </w:tcPr>
          <w:p w:rsidR="002B1D85" w:rsidRDefault="00C00B64">
            <w:pPr>
              <w:keepNext/>
              <w:spacing w:after="60"/>
            </w:pPr>
            <w:r>
              <w:rPr>
                <w:rFonts w:ascii="Calibri" w:hAnsi="Calibri"/>
                <w:sz w:val="20"/>
              </w:rPr>
              <w:t>inverse_simpson</w:t>
            </w:r>
          </w:p>
        </w:tc>
      </w:tr>
      <w:tr w:rsidR="002B1D85" w:rsidTr="002B1D85">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Last Quarter</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1.9000379</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0.7588430</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4.146676</w:t>
            </w:r>
          </w:p>
        </w:tc>
      </w:tr>
      <w:tr w:rsidR="002B1D85" w:rsidTr="002B1D85">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Waxing Creascent</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0.7964051</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0.3070939</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1.443197</w:t>
            </w:r>
          </w:p>
        </w:tc>
      </w:tr>
      <w:tr w:rsidR="002B1D85" w:rsidTr="002B1D85">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First Quarter</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1.0443225</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0.4588839</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1.848032</w:t>
            </w:r>
          </w:p>
        </w:tc>
      </w:tr>
      <w:tr w:rsidR="002B1D85" w:rsidTr="002B1D85">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Wanning Gibbous</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1.3047799</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0.5472546</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2.208747</w:t>
            </w:r>
          </w:p>
        </w:tc>
      </w:tr>
      <w:tr w:rsidR="002B1D85" w:rsidTr="002B1D85">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Full moon</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1.4322595</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0.7328000</w:t>
            </w:r>
          </w:p>
        </w:tc>
        <w:tc>
          <w:tcPr>
            <w:tcW w:w="0" w:type="auto"/>
            <w:tcBorders>
              <w:top w:val="single" w:sz="0" w:space="0" w:color="D3D3D3"/>
              <w:left w:val="single" w:sz="0" w:space="0" w:color="D3D3D3"/>
              <w:bottom w:val="single" w:sz="0" w:space="0" w:color="D3D3D3"/>
              <w:right w:val="single" w:sz="0" w:space="0" w:color="D3D3D3"/>
            </w:tcBorders>
          </w:tcPr>
          <w:p w:rsidR="002B1D85" w:rsidRDefault="00C00B64">
            <w:pPr>
              <w:keepNext/>
              <w:spacing w:after="60"/>
            </w:pPr>
            <w:r>
              <w:rPr>
                <w:rFonts w:ascii="Calibri" w:hAnsi="Calibri"/>
                <w:sz w:val="20"/>
              </w:rPr>
              <w:t>3.742515</w:t>
            </w:r>
          </w:p>
        </w:tc>
      </w:tr>
      <w:bookmarkEnd w:id="3"/>
    </w:tbl>
    <w:p w:rsidR="00C00B64" w:rsidRDefault="00C00B64"/>
    <w:sectPr w:rsidR="00C00B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B64" w:rsidRDefault="00C00B64">
      <w:pPr>
        <w:spacing w:after="0"/>
      </w:pPr>
      <w:r>
        <w:separator/>
      </w:r>
    </w:p>
  </w:endnote>
  <w:endnote w:type="continuationSeparator" w:id="0">
    <w:p w:rsidR="00C00B64" w:rsidRDefault="00C00B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B64" w:rsidRDefault="00C00B64">
      <w:r>
        <w:separator/>
      </w:r>
    </w:p>
  </w:footnote>
  <w:footnote w:type="continuationSeparator" w:id="0">
    <w:p w:rsidR="00C00B64" w:rsidRDefault="00C00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A72CF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D85"/>
    <w:rsid w:val="002B1D85"/>
    <w:rsid w:val="00A32C82"/>
    <w:rsid w:val="00C00B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022E"/>
  <w15:docId w15:val="{1D211187-A56B-45BA-BCB0-82AFC7A3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Corrections</dc:title>
  <dc:creator>Dan mungai</dc:creator>
  <cp:keywords/>
  <cp:lastModifiedBy>Dan mungai</cp:lastModifiedBy>
  <cp:revision>3</cp:revision>
  <dcterms:created xsi:type="dcterms:W3CDTF">2023-02-24T10:37:00Z</dcterms:created>
  <dcterms:modified xsi:type="dcterms:W3CDTF">2023-02-24T10:37:00Z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